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C242E" w14:textId="77777777" w:rsidR="00EB5259" w:rsidRDefault="00EB5259" w:rsidP="00251E0C">
      <w:pPr>
        <w:jc w:val="center"/>
        <w:rPr>
          <w:rFonts w:ascii="Century Gothic" w:hAnsi="Century Gothic" w:cs="Verdana"/>
          <w:b/>
          <w:bCs/>
          <w:sz w:val="22"/>
          <w:szCs w:val="22"/>
          <w:u w:val="single"/>
        </w:rPr>
      </w:pPr>
      <w:bookmarkStart w:id="0" w:name="_GoBack"/>
      <w:bookmarkEnd w:id="0"/>
      <w:r w:rsidRPr="00630DAD">
        <w:rPr>
          <w:rFonts w:ascii="Century Gothic" w:hAnsi="Century Gothic" w:cs="Verdana"/>
          <w:b/>
          <w:bCs/>
          <w:sz w:val="22"/>
          <w:szCs w:val="22"/>
          <w:u w:val="single"/>
        </w:rPr>
        <w:t>PARECER JURÍDICO</w:t>
      </w:r>
    </w:p>
    <w:p w14:paraId="7430790E" w14:textId="77777777" w:rsidR="0035730F" w:rsidRPr="00630DAD" w:rsidRDefault="0035730F" w:rsidP="00251E0C">
      <w:pPr>
        <w:jc w:val="center"/>
        <w:rPr>
          <w:rFonts w:ascii="Century Gothic" w:hAnsi="Century Gothic" w:cs="Verdana"/>
          <w:b/>
          <w:bCs/>
          <w:sz w:val="22"/>
          <w:szCs w:val="22"/>
          <w:u w:val="single"/>
        </w:rPr>
      </w:pPr>
    </w:p>
    <w:p w14:paraId="32CB8CC9" w14:textId="77777777" w:rsidR="002B2BF9" w:rsidRPr="00135EDF" w:rsidRDefault="002B2BF9" w:rsidP="00251E0C">
      <w:pPr>
        <w:jc w:val="both"/>
        <w:rPr>
          <w:rFonts w:ascii="Century Gothic" w:hAnsi="Century Gothic" w:cs="Verdana"/>
          <w:b/>
          <w:bCs/>
          <w:sz w:val="22"/>
          <w:szCs w:val="22"/>
        </w:rPr>
      </w:pPr>
    </w:p>
    <w:p w14:paraId="45E4D60F" w14:textId="40596F7F" w:rsidR="00EB5259" w:rsidRPr="00135EDF" w:rsidRDefault="00EB5259" w:rsidP="00251E0C">
      <w:pPr>
        <w:jc w:val="both"/>
        <w:rPr>
          <w:rFonts w:ascii="Century Gothic" w:hAnsi="Century Gothic" w:cs="Verdana"/>
          <w:b/>
          <w:bCs/>
          <w:sz w:val="22"/>
          <w:szCs w:val="22"/>
        </w:rPr>
      </w:pPr>
      <w:r w:rsidRPr="00135EDF">
        <w:rPr>
          <w:rFonts w:ascii="Century Gothic" w:hAnsi="Century Gothic" w:cs="Verdana"/>
          <w:b/>
          <w:bCs/>
          <w:sz w:val="22"/>
          <w:szCs w:val="22"/>
        </w:rPr>
        <w:t>Proce</w:t>
      </w:r>
      <w:r w:rsidR="00EB43C8" w:rsidRPr="00135EDF">
        <w:rPr>
          <w:rFonts w:ascii="Century Gothic" w:hAnsi="Century Gothic" w:cs="Verdana"/>
          <w:b/>
          <w:bCs/>
          <w:sz w:val="22"/>
          <w:szCs w:val="22"/>
        </w:rPr>
        <w:t xml:space="preserve">sso Administrativo </w:t>
      </w:r>
      <w:r w:rsidRPr="00135EDF">
        <w:rPr>
          <w:rFonts w:ascii="Century Gothic" w:hAnsi="Century Gothic" w:cs="Verdana"/>
          <w:b/>
          <w:bCs/>
          <w:sz w:val="22"/>
          <w:szCs w:val="22"/>
        </w:rPr>
        <w:t>nº:</w:t>
      </w:r>
      <w:r w:rsidR="00A84873" w:rsidRPr="00135EDF">
        <w:rPr>
          <w:rFonts w:ascii="Century Gothic" w:hAnsi="Century Gothic" w:cs="Verdana"/>
          <w:b/>
          <w:bCs/>
          <w:sz w:val="22"/>
          <w:szCs w:val="22"/>
        </w:rPr>
        <w:t xml:space="preserve"> </w:t>
      </w:r>
      <w:r w:rsidR="00135EDF" w:rsidRPr="00135EDF">
        <w:rPr>
          <w:rFonts w:ascii="Century Gothic" w:hAnsi="Century Gothic"/>
          <w:sz w:val="22"/>
          <w:szCs w:val="22"/>
        </w:rPr>
        <w:t>0</w:t>
      </w:r>
      <w:r w:rsidR="001A080D">
        <w:rPr>
          <w:rFonts w:ascii="Century Gothic" w:hAnsi="Century Gothic"/>
          <w:sz w:val="22"/>
          <w:szCs w:val="22"/>
        </w:rPr>
        <w:t>01/2025</w:t>
      </w:r>
    </w:p>
    <w:p w14:paraId="32961D51" w14:textId="394961E9" w:rsidR="003D4094" w:rsidRPr="00630DAD" w:rsidRDefault="00EB5259" w:rsidP="00251E0C">
      <w:pPr>
        <w:jc w:val="both"/>
        <w:rPr>
          <w:rFonts w:ascii="Century Gothic" w:hAnsi="Century Gothic" w:cs="Verdana"/>
          <w:bCs/>
          <w:sz w:val="22"/>
          <w:szCs w:val="22"/>
        </w:rPr>
      </w:pPr>
      <w:r w:rsidRPr="00630DAD">
        <w:rPr>
          <w:rFonts w:ascii="Century Gothic" w:hAnsi="Century Gothic" w:cs="Verdana"/>
          <w:b/>
          <w:bCs/>
          <w:sz w:val="22"/>
          <w:szCs w:val="22"/>
        </w:rPr>
        <w:t xml:space="preserve">Modalidade: </w:t>
      </w:r>
      <w:r w:rsidR="001A080D">
        <w:rPr>
          <w:rFonts w:ascii="Century Gothic" w:hAnsi="Century Gothic" w:cs="Verdana"/>
          <w:bCs/>
          <w:sz w:val="22"/>
          <w:szCs w:val="22"/>
        </w:rPr>
        <w:t>Inexigibilidade 001/2025</w:t>
      </w:r>
    </w:p>
    <w:p w14:paraId="6C2C5612" w14:textId="2F4007D8" w:rsidR="00135EDF" w:rsidRPr="00135EDF" w:rsidRDefault="00EB5259" w:rsidP="00251E0C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 w:cs="Verdana"/>
          <w:b/>
          <w:bCs/>
          <w:sz w:val="22"/>
          <w:szCs w:val="22"/>
        </w:rPr>
        <w:t xml:space="preserve">Objeto: </w:t>
      </w:r>
      <w:r w:rsidR="00135EDF" w:rsidRPr="00135EDF">
        <w:rPr>
          <w:rFonts w:ascii="Century Gothic" w:hAnsi="Century Gothic"/>
          <w:sz w:val="22"/>
          <w:szCs w:val="22"/>
        </w:rPr>
        <w:t xml:space="preserve">Contratação de empresa para </w:t>
      </w:r>
      <w:r w:rsidR="001A080D">
        <w:rPr>
          <w:rFonts w:ascii="Century Gothic" w:hAnsi="Century Gothic"/>
          <w:sz w:val="22"/>
          <w:szCs w:val="22"/>
        </w:rPr>
        <w:t xml:space="preserve">prestação de serviços técnicos privativos da advocacia, em nível de </w:t>
      </w:r>
      <w:proofErr w:type="spellStart"/>
      <w:r w:rsidR="001A080D">
        <w:rPr>
          <w:rFonts w:ascii="Century Gothic" w:hAnsi="Century Gothic"/>
          <w:sz w:val="22"/>
          <w:szCs w:val="22"/>
        </w:rPr>
        <w:t>consuçtoria</w:t>
      </w:r>
      <w:proofErr w:type="spellEnd"/>
      <w:r w:rsidR="001A080D">
        <w:rPr>
          <w:rFonts w:ascii="Century Gothic" w:hAnsi="Century Gothic"/>
          <w:sz w:val="22"/>
          <w:szCs w:val="22"/>
        </w:rPr>
        <w:t>, mediante a emissão de pareceres e vistas presenciais, para a análise da constitucionalidade e legalidade de projetos legislativos, elaboração de projetos e defesa da Câmara Municipal em juízo.</w:t>
      </w:r>
    </w:p>
    <w:p w14:paraId="1B182173" w14:textId="77777777" w:rsidR="00E71CE7" w:rsidRPr="00135EDF" w:rsidRDefault="00E71CE7" w:rsidP="00251E0C">
      <w:pPr>
        <w:jc w:val="both"/>
        <w:rPr>
          <w:rFonts w:ascii="Century Gothic" w:hAnsi="Century Gothic" w:cs="Verdana"/>
          <w:bCs/>
          <w:sz w:val="22"/>
          <w:szCs w:val="22"/>
        </w:rPr>
      </w:pPr>
    </w:p>
    <w:p w14:paraId="555AF015" w14:textId="2C8A31A0" w:rsidR="00DB1A2F" w:rsidRPr="001A080D" w:rsidRDefault="001A080D" w:rsidP="001A080D">
      <w:pPr>
        <w:ind w:left="3969"/>
        <w:jc w:val="both"/>
        <w:rPr>
          <w:rFonts w:ascii="Century Gothic" w:hAnsi="Century Gothic" w:cs="Tahoma"/>
          <w:b/>
          <w:color w:val="000000"/>
          <w:sz w:val="22"/>
          <w:szCs w:val="22"/>
        </w:rPr>
      </w:pPr>
      <w:r w:rsidRPr="001A080D">
        <w:rPr>
          <w:rFonts w:ascii="Century Gothic" w:hAnsi="Century Gothic" w:cs="Tahoma"/>
          <w:b/>
          <w:color w:val="000000"/>
          <w:sz w:val="22"/>
          <w:szCs w:val="22"/>
        </w:rPr>
        <w:t>EMENTA: LICITAÇÃO. INEXIGIBILIDADE DE LICITAÇÃO Nº 0</w:t>
      </w:r>
      <w:r>
        <w:rPr>
          <w:rFonts w:ascii="Century Gothic" w:hAnsi="Century Gothic" w:cs="Tahoma"/>
          <w:b/>
          <w:color w:val="000000"/>
          <w:sz w:val="22"/>
          <w:szCs w:val="22"/>
        </w:rPr>
        <w:t>01</w:t>
      </w:r>
      <w:r w:rsidRPr="001A080D">
        <w:rPr>
          <w:rFonts w:ascii="Century Gothic" w:hAnsi="Century Gothic" w:cs="Tahoma"/>
          <w:b/>
          <w:color w:val="000000"/>
          <w:sz w:val="22"/>
          <w:szCs w:val="22"/>
        </w:rPr>
        <w:t>/202</w:t>
      </w:r>
      <w:r>
        <w:rPr>
          <w:rFonts w:ascii="Century Gothic" w:hAnsi="Century Gothic" w:cs="Tahoma"/>
          <w:b/>
          <w:color w:val="000000"/>
          <w:sz w:val="22"/>
          <w:szCs w:val="22"/>
        </w:rPr>
        <w:t>5</w:t>
      </w:r>
      <w:r w:rsidRPr="001A080D">
        <w:rPr>
          <w:rFonts w:ascii="Century Gothic" w:hAnsi="Century Gothic" w:cs="Tahoma"/>
          <w:b/>
          <w:color w:val="000000"/>
          <w:sz w:val="22"/>
          <w:szCs w:val="22"/>
        </w:rPr>
        <w:t>. ANÁLISE JURÍDICA DO PROCEDIMENTO</w:t>
      </w:r>
      <w:r w:rsidR="00AE6B90">
        <w:rPr>
          <w:rFonts w:ascii="Century Gothic" w:hAnsi="Century Gothic" w:cs="Tahoma"/>
          <w:b/>
          <w:color w:val="000000"/>
          <w:sz w:val="22"/>
          <w:szCs w:val="22"/>
        </w:rPr>
        <w:t xml:space="preserve"> </w:t>
      </w:r>
      <w:r w:rsidRPr="001A080D">
        <w:rPr>
          <w:rFonts w:ascii="Century Gothic" w:hAnsi="Century Gothic" w:cs="Tahoma"/>
          <w:b/>
          <w:color w:val="000000"/>
          <w:sz w:val="22"/>
          <w:szCs w:val="22"/>
        </w:rPr>
        <w:t>E DA MINUTA DO CONTRATO. LEGISLAÇÃO APLICÁVEL ARTIGO 74, INCISO III, ALÍNEA “</w:t>
      </w:r>
      <w:r w:rsidR="00AE6B90">
        <w:rPr>
          <w:rFonts w:ascii="Century Gothic" w:hAnsi="Century Gothic" w:cs="Tahoma"/>
          <w:b/>
          <w:color w:val="000000"/>
          <w:sz w:val="22"/>
          <w:szCs w:val="22"/>
        </w:rPr>
        <w:t>C</w:t>
      </w:r>
      <w:r w:rsidRPr="001A080D">
        <w:rPr>
          <w:rFonts w:ascii="Century Gothic" w:hAnsi="Century Gothic" w:cs="Tahoma"/>
          <w:b/>
          <w:color w:val="000000"/>
          <w:sz w:val="22"/>
          <w:szCs w:val="22"/>
        </w:rPr>
        <w:t>”</w:t>
      </w:r>
      <w:r w:rsidR="00AE6B90">
        <w:rPr>
          <w:rFonts w:ascii="Century Gothic" w:hAnsi="Century Gothic" w:cs="Tahoma"/>
          <w:b/>
          <w:color w:val="000000"/>
          <w:sz w:val="22"/>
          <w:szCs w:val="22"/>
        </w:rPr>
        <w:t xml:space="preserve"> e “E”</w:t>
      </w:r>
      <w:r w:rsidRPr="001A080D">
        <w:rPr>
          <w:rFonts w:ascii="Century Gothic" w:hAnsi="Century Gothic" w:cs="Tahoma"/>
          <w:b/>
          <w:color w:val="000000"/>
          <w:sz w:val="22"/>
          <w:szCs w:val="22"/>
        </w:rPr>
        <w:t>, DA LEI 14.133/21. ATENDIMENTO DOS REQUISITOS MÍNIMOS EXIGIDOS. POSSIBILIDADE.</w:t>
      </w:r>
    </w:p>
    <w:p w14:paraId="74308956" w14:textId="77777777" w:rsidR="001A080D" w:rsidRPr="00630DAD" w:rsidRDefault="001A080D" w:rsidP="00251E0C">
      <w:pPr>
        <w:rPr>
          <w:rFonts w:ascii="Century Gothic" w:hAnsi="Century Gothic" w:cs="Tahoma"/>
          <w:bCs/>
          <w:color w:val="000000"/>
          <w:sz w:val="22"/>
          <w:szCs w:val="22"/>
        </w:rPr>
      </w:pPr>
    </w:p>
    <w:p w14:paraId="1CB92D13" w14:textId="03F5C0E2" w:rsidR="002B2BF9" w:rsidRPr="00630DAD" w:rsidRDefault="00EB43C8" w:rsidP="00251E0C">
      <w:pPr>
        <w:pStyle w:val="PargrafodaLista"/>
        <w:numPr>
          <w:ilvl w:val="0"/>
          <w:numId w:val="20"/>
        </w:numPr>
        <w:spacing w:line="240" w:lineRule="auto"/>
        <w:rPr>
          <w:rFonts w:ascii="Century Gothic" w:hAnsi="Century Gothic" w:cs="Tahoma"/>
          <w:b/>
          <w:color w:val="000000"/>
          <w:u w:val="single"/>
        </w:rPr>
      </w:pPr>
      <w:r w:rsidRPr="00630DAD">
        <w:rPr>
          <w:rFonts w:ascii="Century Gothic" w:hAnsi="Century Gothic" w:cs="Tahoma"/>
          <w:b/>
          <w:color w:val="000000"/>
          <w:u w:val="single"/>
        </w:rPr>
        <w:t>RELATÓRIO</w:t>
      </w:r>
    </w:p>
    <w:p w14:paraId="5554AFED" w14:textId="705BF581" w:rsidR="00E67C10" w:rsidRPr="00E4048A" w:rsidRDefault="008239F5" w:rsidP="00251E0C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 w:cs="Tahoma"/>
          <w:bCs/>
          <w:color w:val="000000"/>
          <w:sz w:val="22"/>
          <w:szCs w:val="22"/>
        </w:rPr>
        <w:t xml:space="preserve"> </w:t>
      </w:r>
      <w:r w:rsidRPr="00630DAD">
        <w:rPr>
          <w:rFonts w:ascii="Century Gothic" w:hAnsi="Century Gothic" w:cs="Tahoma"/>
          <w:bCs/>
          <w:color w:val="000000"/>
          <w:sz w:val="22"/>
          <w:szCs w:val="22"/>
        </w:rPr>
        <w:tab/>
      </w:r>
      <w:r w:rsidR="00EB43C8" w:rsidRPr="00630DAD">
        <w:rPr>
          <w:rFonts w:ascii="Century Gothic" w:hAnsi="Century Gothic" w:cs="Tahoma"/>
          <w:bCs/>
          <w:color w:val="000000"/>
          <w:sz w:val="22"/>
          <w:szCs w:val="22"/>
        </w:rPr>
        <w:t xml:space="preserve">Trata-se de encaminhamento </w:t>
      </w:r>
      <w:r w:rsidR="00E67C10" w:rsidRPr="00630DAD">
        <w:rPr>
          <w:rFonts w:ascii="Century Gothic" w:hAnsi="Century Gothic" w:cs="Tahoma"/>
          <w:bCs/>
          <w:color w:val="000000"/>
          <w:sz w:val="22"/>
          <w:szCs w:val="22"/>
        </w:rPr>
        <w:t>para fins de elaboração de parecer jurídico n</w:t>
      </w:r>
      <w:r w:rsidR="00E819A8" w:rsidRPr="00630DAD">
        <w:rPr>
          <w:rFonts w:ascii="Century Gothic" w:hAnsi="Century Gothic" w:cs="Tahoma"/>
          <w:bCs/>
          <w:color w:val="000000"/>
          <w:sz w:val="22"/>
          <w:szCs w:val="22"/>
        </w:rPr>
        <w:t>os aut</w:t>
      </w:r>
      <w:r w:rsidR="00802650" w:rsidRPr="00630DAD">
        <w:rPr>
          <w:rFonts w:ascii="Century Gothic" w:hAnsi="Century Gothic" w:cs="Tahoma"/>
          <w:bCs/>
          <w:color w:val="000000"/>
          <w:sz w:val="22"/>
          <w:szCs w:val="22"/>
        </w:rPr>
        <w:t>o</w:t>
      </w:r>
      <w:r w:rsidR="00A9774C" w:rsidRPr="00630DAD">
        <w:rPr>
          <w:rFonts w:ascii="Century Gothic" w:hAnsi="Century Gothic" w:cs="Tahoma"/>
          <w:bCs/>
          <w:color w:val="000000"/>
          <w:sz w:val="22"/>
          <w:szCs w:val="22"/>
        </w:rPr>
        <w:t>s do processo</w:t>
      </w:r>
      <w:r w:rsidR="00EB43C8" w:rsidRPr="00630DAD">
        <w:rPr>
          <w:rFonts w:ascii="Century Gothic" w:hAnsi="Century Gothic" w:cs="Tahoma"/>
          <w:bCs/>
          <w:color w:val="000000"/>
          <w:sz w:val="22"/>
          <w:szCs w:val="22"/>
        </w:rPr>
        <w:t xml:space="preserve"> administrativo </w:t>
      </w:r>
      <w:r w:rsidR="00A9774C" w:rsidRPr="00630DAD">
        <w:rPr>
          <w:rFonts w:ascii="Century Gothic" w:hAnsi="Century Gothic" w:cs="Tahoma"/>
          <w:bCs/>
          <w:color w:val="000000"/>
          <w:sz w:val="22"/>
          <w:szCs w:val="22"/>
        </w:rPr>
        <w:t>nº</w:t>
      </w:r>
      <w:r w:rsidR="00AE6B90">
        <w:rPr>
          <w:rFonts w:ascii="Century Gothic" w:hAnsi="Century Gothic"/>
          <w:sz w:val="22"/>
          <w:szCs w:val="22"/>
        </w:rPr>
        <w:t xml:space="preserve"> 001/2025</w:t>
      </w:r>
      <w:r w:rsidR="00E819A8" w:rsidRPr="00630DAD">
        <w:rPr>
          <w:rFonts w:ascii="Century Gothic" w:hAnsi="Century Gothic" w:cs="Tahoma"/>
          <w:bCs/>
          <w:color w:val="000000"/>
          <w:sz w:val="22"/>
          <w:szCs w:val="22"/>
        </w:rPr>
        <w:t xml:space="preserve">, </w:t>
      </w:r>
      <w:r w:rsidR="00AE6B90">
        <w:rPr>
          <w:rFonts w:ascii="Century Gothic" w:hAnsi="Century Gothic" w:cs="Tahoma"/>
          <w:bCs/>
          <w:color w:val="000000"/>
          <w:sz w:val="22"/>
          <w:szCs w:val="22"/>
        </w:rPr>
        <w:t xml:space="preserve">Inexigibilidade </w:t>
      </w:r>
      <w:r w:rsidR="00B33FE8" w:rsidRPr="00630DAD">
        <w:rPr>
          <w:rFonts w:ascii="Century Gothic" w:hAnsi="Century Gothic" w:cs="Tahoma"/>
          <w:bCs/>
          <w:color w:val="000000"/>
          <w:sz w:val="22"/>
          <w:szCs w:val="22"/>
        </w:rPr>
        <w:t>nº</w:t>
      </w:r>
      <w:r w:rsidR="00A9774C" w:rsidRPr="00630DAD">
        <w:rPr>
          <w:rFonts w:ascii="Century Gothic" w:hAnsi="Century Gothic" w:cs="Tahoma"/>
          <w:bCs/>
          <w:color w:val="000000"/>
          <w:sz w:val="22"/>
          <w:szCs w:val="22"/>
        </w:rPr>
        <w:t xml:space="preserve"> </w:t>
      </w:r>
      <w:r w:rsidR="00BF3766" w:rsidRPr="00630DAD">
        <w:rPr>
          <w:rFonts w:ascii="Century Gothic" w:hAnsi="Century Gothic" w:cs="Tahoma"/>
          <w:bCs/>
          <w:color w:val="000000"/>
          <w:sz w:val="22"/>
          <w:szCs w:val="22"/>
        </w:rPr>
        <w:t>0</w:t>
      </w:r>
      <w:r w:rsidR="00AE6B90">
        <w:rPr>
          <w:rFonts w:ascii="Century Gothic" w:hAnsi="Century Gothic" w:cs="Tahoma"/>
          <w:bCs/>
          <w:color w:val="000000"/>
          <w:sz w:val="22"/>
          <w:szCs w:val="22"/>
        </w:rPr>
        <w:t>01</w:t>
      </w:r>
      <w:r w:rsidR="00A9774C" w:rsidRPr="00630DAD">
        <w:rPr>
          <w:rFonts w:ascii="Century Gothic" w:hAnsi="Century Gothic" w:cs="Tahoma"/>
          <w:bCs/>
          <w:color w:val="000000"/>
          <w:sz w:val="22"/>
          <w:szCs w:val="22"/>
        </w:rPr>
        <w:t>/202</w:t>
      </w:r>
      <w:r w:rsidR="00AE6B90">
        <w:rPr>
          <w:rFonts w:ascii="Century Gothic" w:hAnsi="Century Gothic" w:cs="Tahoma"/>
          <w:bCs/>
          <w:color w:val="000000"/>
          <w:sz w:val="22"/>
          <w:szCs w:val="22"/>
        </w:rPr>
        <w:t>5</w:t>
      </w:r>
      <w:r w:rsidR="00E819A8" w:rsidRPr="00630DAD">
        <w:rPr>
          <w:rFonts w:ascii="Century Gothic" w:hAnsi="Century Gothic" w:cs="Tahoma"/>
          <w:bCs/>
          <w:color w:val="000000"/>
          <w:sz w:val="22"/>
          <w:szCs w:val="22"/>
        </w:rPr>
        <w:t xml:space="preserve">, </w:t>
      </w:r>
      <w:r w:rsidR="002D3CEE" w:rsidRPr="00630DAD">
        <w:rPr>
          <w:rFonts w:ascii="Century Gothic" w:hAnsi="Century Gothic" w:cs="Tahoma"/>
          <w:bCs/>
          <w:color w:val="000000"/>
          <w:sz w:val="22"/>
          <w:szCs w:val="22"/>
        </w:rPr>
        <w:t>que</w:t>
      </w:r>
      <w:r w:rsidR="00802650" w:rsidRPr="00630DAD">
        <w:rPr>
          <w:rFonts w:ascii="Century Gothic" w:hAnsi="Century Gothic" w:cs="Tahoma"/>
          <w:bCs/>
          <w:color w:val="000000"/>
          <w:sz w:val="22"/>
          <w:szCs w:val="22"/>
        </w:rPr>
        <w:t xml:space="preserve"> tem por objeto </w:t>
      </w:r>
      <w:r w:rsidR="00B33FE8" w:rsidRPr="00630DAD">
        <w:rPr>
          <w:rFonts w:ascii="Century Gothic" w:hAnsi="Century Gothic" w:cs="Tahoma"/>
          <w:bCs/>
          <w:color w:val="000000"/>
          <w:sz w:val="22"/>
          <w:szCs w:val="22"/>
        </w:rPr>
        <w:t>a</w:t>
      </w:r>
      <w:r w:rsidR="00054B4C">
        <w:rPr>
          <w:rFonts w:ascii="Century Gothic" w:hAnsi="Century Gothic" w:cs="Tahoma"/>
          <w:bCs/>
          <w:color w:val="000000"/>
          <w:sz w:val="22"/>
          <w:szCs w:val="22"/>
        </w:rPr>
        <w:t xml:space="preserve"> </w:t>
      </w:r>
      <w:r w:rsidR="00054B4C">
        <w:rPr>
          <w:rFonts w:ascii="Century Gothic" w:hAnsi="Century Gothic" w:cs="Arial"/>
          <w:sz w:val="22"/>
          <w:szCs w:val="22"/>
        </w:rPr>
        <w:t xml:space="preserve">contratação </w:t>
      </w:r>
      <w:r w:rsidR="00E4048A" w:rsidRPr="00135EDF">
        <w:rPr>
          <w:rFonts w:ascii="Century Gothic" w:hAnsi="Century Gothic"/>
          <w:sz w:val="22"/>
          <w:szCs w:val="22"/>
        </w:rPr>
        <w:t>de</w:t>
      </w:r>
      <w:r w:rsidR="00AE6B90">
        <w:rPr>
          <w:rFonts w:ascii="Century Gothic" w:hAnsi="Century Gothic"/>
          <w:sz w:val="22"/>
          <w:szCs w:val="22"/>
        </w:rPr>
        <w:t xml:space="preserve"> </w:t>
      </w:r>
      <w:r w:rsidR="00AE6B90" w:rsidRPr="00135EDF">
        <w:rPr>
          <w:rFonts w:ascii="Century Gothic" w:hAnsi="Century Gothic"/>
          <w:sz w:val="22"/>
          <w:szCs w:val="22"/>
        </w:rPr>
        <w:t xml:space="preserve">empresa para </w:t>
      </w:r>
      <w:r w:rsidR="00AE6B90">
        <w:rPr>
          <w:rFonts w:ascii="Century Gothic" w:hAnsi="Century Gothic"/>
          <w:sz w:val="22"/>
          <w:szCs w:val="22"/>
        </w:rPr>
        <w:t xml:space="preserve">prestação de serviços técnicos privativos da advocacia, em nível de </w:t>
      </w:r>
      <w:proofErr w:type="spellStart"/>
      <w:r w:rsidR="00AE6B90">
        <w:rPr>
          <w:rFonts w:ascii="Century Gothic" w:hAnsi="Century Gothic"/>
          <w:sz w:val="22"/>
          <w:szCs w:val="22"/>
        </w:rPr>
        <w:t>consuçtoria</w:t>
      </w:r>
      <w:proofErr w:type="spellEnd"/>
      <w:r w:rsidR="00AE6B90">
        <w:rPr>
          <w:rFonts w:ascii="Century Gothic" w:hAnsi="Century Gothic"/>
          <w:sz w:val="22"/>
          <w:szCs w:val="22"/>
        </w:rPr>
        <w:t>, mediante a emissão de pareceres e vistas presenciais, para a análise da constitucionalidade e legalidade de projetos legislativos, elaboração de projetos e defesa da Câmara Municipal em juízo.</w:t>
      </w:r>
    </w:p>
    <w:p w14:paraId="0702E468" w14:textId="050B1F22" w:rsidR="00E12795" w:rsidRPr="00630DAD" w:rsidRDefault="00E12795" w:rsidP="00251E0C">
      <w:pPr>
        <w:jc w:val="both"/>
        <w:rPr>
          <w:rFonts w:ascii="Century Gothic" w:hAnsi="Century Gothic"/>
          <w:sz w:val="22"/>
          <w:szCs w:val="22"/>
        </w:rPr>
      </w:pPr>
    </w:p>
    <w:p w14:paraId="16B609F6" w14:textId="67F1C624" w:rsidR="009617DB" w:rsidRPr="00630DAD" w:rsidRDefault="009617DB" w:rsidP="00251E0C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/>
          <w:sz w:val="22"/>
          <w:szCs w:val="22"/>
        </w:rPr>
        <w:tab/>
        <w:t xml:space="preserve">Sendo o necessário </w:t>
      </w:r>
      <w:r w:rsidR="000E1754" w:rsidRPr="00630DAD">
        <w:rPr>
          <w:rFonts w:ascii="Century Gothic" w:hAnsi="Century Gothic"/>
          <w:sz w:val="22"/>
          <w:szCs w:val="22"/>
        </w:rPr>
        <w:t xml:space="preserve">a </w:t>
      </w:r>
      <w:r w:rsidRPr="00630DAD">
        <w:rPr>
          <w:rFonts w:ascii="Century Gothic" w:hAnsi="Century Gothic"/>
          <w:sz w:val="22"/>
          <w:szCs w:val="22"/>
        </w:rPr>
        <w:t xml:space="preserve">relatar, segue </w:t>
      </w:r>
      <w:r w:rsidR="009524A9" w:rsidRPr="00630DAD">
        <w:rPr>
          <w:rFonts w:ascii="Century Gothic" w:hAnsi="Century Gothic"/>
          <w:sz w:val="22"/>
          <w:szCs w:val="22"/>
        </w:rPr>
        <w:t xml:space="preserve">a </w:t>
      </w:r>
      <w:r w:rsidRPr="00630DAD">
        <w:rPr>
          <w:rFonts w:ascii="Century Gothic" w:hAnsi="Century Gothic"/>
          <w:sz w:val="22"/>
          <w:szCs w:val="22"/>
        </w:rPr>
        <w:t xml:space="preserve">fundamentação </w:t>
      </w:r>
      <w:r w:rsidR="004B1796" w:rsidRPr="00630DAD">
        <w:rPr>
          <w:rFonts w:ascii="Century Gothic" w:hAnsi="Century Gothic"/>
          <w:sz w:val="22"/>
          <w:szCs w:val="22"/>
        </w:rPr>
        <w:t xml:space="preserve">no que concerne </w:t>
      </w:r>
      <w:r w:rsidR="009524A9" w:rsidRPr="00630DAD">
        <w:rPr>
          <w:rFonts w:ascii="Century Gothic" w:hAnsi="Century Gothic"/>
          <w:sz w:val="22"/>
          <w:szCs w:val="22"/>
        </w:rPr>
        <w:t>a</w:t>
      </w:r>
      <w:r w:rsidR="00C54476" w:rsidRPr="00630DAD">
        <w:rPr>
          <w:rFonts w:ascii="Century Gothic" w:hAnsi="Century Gothic"/>
          <w:sz w:val="22"/>
          <w:szCs w:val="22"/>
        </w:rPr>
        <w:t xml:space="preserve"> </w:t>
      </w:r>
      <w:r w:rsidR="009524A9" w:rsidRPr="00630DAD">
        <w:rPr>
          <w:rFonts w:ascii="Century Gothic" w:hAnsi="Century Gothic"/>
          <w:sz w:val="22"/>
          <w:szCs w:val="22"/>
        </w:rPr>
        <w:t xml:space="preserve">legalidade </w:t>
      </w:r>
      <w:r w:rsidR="00C54476" w:rsidRPr="00630DAD">
        <w:rPr>
          <w:rFonts w:ascii="Century Gothic" w:hAnsi="Century Gothic"/>
          <w:sz w:val="22"/>
          <w:szCs w:val="22"/>
        </w:rPr>
        <w:t xml:space="preserve">do procedimento e </w:t>
      </w:r>
      <w:r w:rsidR="009524A9" w:rsidRPr="00630DAD">
        <w:rPr>
          <w:rFonts w:ascii="Century Gothic" w:hAnsi="Century Gothic"/>
          <w:sz w:val="22"/>
          <w:szCs w:val="22"/>
        </w:rPr>
        <w:t xml:space="preserve">da minuta do </w:t>
      </w:r>
      <w:r w:rsidR="003A4765">
        <w:rPr>
          <w:rFonts w:ascii="Century Gothic" w:hAnsi="Century Gothic"/>
          <w:sz w:val="22"/>
          <w:szCs w:val="22"/>
        </w:rPr>
        <w:t>contrato</w:t>
      </w:r>
      <w:r w:rsidRPr="00630DAD">
        <w:rPr>
          <w:rFonts w:ascii="Century Gothic" w:hAnsi="Century Gothic"/>
          <w:sz w:val="22"/>
          <w:szCs w:val="22"/>
        </w:rPr>
        <w:t>.</w:t>
      </w:r>
    </w:p>
    <w:p w14:paraId="15012D98" w14:textId="531858D8" w:rsidR="00FC1918" w:rsidRPr="00630DAD" w:rsidRDefault="009617DB" w:rsidP="00251E0C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/>
          <w:sz w:val="22"/>
          <w:szCs w:val="22"/>
        </w:rPr>
        <w:tab/>
      </w:r>
    </w:p>
    <w:p w14:paraId="68153540" w14:textId="77777777" w:rsidR="004B1796" w:rsidRPr="00630DAD" w:rsidRDefault="004B1796" w:rsidP="00251E0C">
      <w:pPr>
        <w:jc w:val="both"/>
        <w:rPr>
          <w:rFonts w:ascii="Century Gothic" w:hAnsi="Century Gothic"/>
          <w:sz w:val="22"/>
          <w:szCs w:val="22"/>
        </w:rPr>
      </w:pPr>
    </w:p>
    <w:p w14:paraId="565E29BC" w14:textId="276E428A" w:rsidR="004B1796" w:rsidRPr="00630DAD" w:rsidRDefault="004B1796" w:rsidP="00251E0C">
      <w:pPr>
        <w:pStyle w:val="PargrafodaLista"/>
        <w:numPr>
          <w:ilvl w:val="0"/>
          <w:numId w:val="20"/>
        </w:numPr>
        <w:spacing w:line="240" w:lineRule="auto"/>
        <w:jc w:val="both"/>
        <w:rPr>
          <w:rFonts w:ascii="Century Gothic" w:hAnsi="Century Gothic"/>
          <w:b/>
          <w:bCs/>
          <w:u w:val="single"/>
        </w:rPr>
      </w:pPr>
      <w:r w:rsidRPr="00630DAD">
        <w:rPr>
          <w:rFonts w:ascii="Century Gothic" w:hAnsi="Century Gothic"/>
          <w:b/>
          <w:bCs/>
          <w:u w:val="single"/>
        </w:rPr>
        <w:t>FUNDAMENTAÇÃO</w:t>
      </w:r>
    </w:p>
    <w:p w14:paraId="4BFB6340" w14:textId="77777777" w:rsidR="0061325F" w:rsidRPr="00630DAD" w:rsidRDefault="0061325F" w:rsidP="00251E0C">
      <w:pPr>
        <w:pStyle w:val="PargrafodaLista"/>
        <w:spacing w:line="240" w:lineRule="auto"/>
        <w:ind w:left="1065"/>
        <w:jc w:val="both"/>
        <w:rPr>
          <w:rFonts w:ascii="Century Gothic" w:hAnsi="Century Gothic"/>
          <w:b/>
          <w:bCs/>
          <w:u w:val="single"/>
        </w:rPr>
      </w:pPr>
    </w:p>
    <w:p w14:paraId="23AF4D37" w14:textId="73CD0317" w:rsidR="0061325F" w:rsidRPr="00630DAD" w:rsidRDefault="0061325F" w:rsidP="00251E0C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Century Gothic" w:hAnsi="Century Gothic"/>
          <w:b/>
          <w:bCs/>
        </w:rPr>
      </w:pPr>
      <w:r w:rsidRPr="00630DAD">
        <w:rPr>
          <w:rFonts w:ascii="Century Gothic" w:hAnsi="Century Gothic"/>
          <w:b/>
          <w:bCs/>
        </w:rPr>
        <w:t>DA FINALIDADE E ABRANGÊNCIA DO PARECER JURÍDICO</w:t>
      </w:r>
    </w:p>
    <w:p w14:paraId="693EE274" w14:textId="36F94B42" w:rsidR="00D53E28" w:rsidRPr="00630DAD" w:rsidRDefault="00E12795" w:rsidP="00251E0C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/>
          <w:sz w:val="22"/>
          <w:szCs w:val="22"/>
        </w:rPr>
        <w:tab/>
        <w:t>Em atenção a consulta</w:t>
      </w:r>
      <w:r w:rsidR="00D53E28" w:rsidRPr="00630DAD">
        <w:rPr>
          <w:rFonts w:ascii="Century Gothic" w:hAnsi="Century Gothic"/>
          <w:sz w:val="22"/>
          <w:szCs w:val="22"/>
        </w:rPr>
        <w:t xml:space="preserve"> </w:t>
      </w:r>
      <w:r w:rsidRPr="00630DAD">
        <w:rPr>
          <w:rFonts w:ascii="Century Gothic" w:hAnsi="Century Gothic"/>
          <w:sz w:val="22"/>
          <w:szCs w:val="22"/>
        </w:rPr>
        <w:t>sobre a legalidade do procedimento, cumpre destacar</w:t>
      </w:r>
      <w:r w:rsidR="00AB3676" w:rsidRPr="00630DAD">
        <w:rPr>
          <w:rFonts w:ascii="Century Gothic" w:hAnsi="Century Gothic"/>
          <w:sz w:val="22"/>
          <w:szCs w:val="22"/>
        </w:rPr>
        <w:t xml:space="preserve">, de início, </w:t>
      </w:r>
      <w:r w:rsidRPr="00630DAD">
        <w:rPr>
          <w:rFonts w:ascii="Century Gothic" w:hAnsi="Century Gothic"/>
          <w:sz w:val="22"/>
          <w:szCs w:val="22"/>
        </w:rPr>
        <w:t xml:space="preserve">que o presente parecer jurídico </w:t>
      </w:r>
      <w:r w:rsidR="00D53E28" w:rsidRPr="00630DAD">
        <w:rPr>
          <w:rFonts w:ascii="Century Gothic" w:hAnsi="Century Gothic"/>
          <w:sz w:val="22"/>
          <w:szCs w:val="22"/>
        </w:rPr>
        <w:t>é de natureza opinativa e não vinculante</w:t>
      </w:r>
      <w:r w:rsidR="00DE19D3" w:rsidRPr="00630DAD">
        <w:rPr>
          <w:rFonts w:ascii="Century Gothic" w:hAnsi="Century Gothic"/>
          <w:sz w:val="22"/>
          <w:szCs w:val="22"/>
        </w:rPr>
        <w:t>, não adentrando nos critérios de conveniência e oportunidade dos atos administrativos.</w:t>
      </w:r>
    </w:p>
    <w:p w14:paraId="54F3E793" w14:textId="63EE815E" w:rsidR="00966746" w:rsidRPr="00630DAD" w:rsidRDefault="00966746" w:rsidP="00214A8E">
      <w:pPr>
        <w:jc w:val="both"/>
        <w:rPr>
          <w:rFonts w:ascii="Century Gothic" w:hAnsi="Century Gothic"/>
          <w:color w:val="000000"/>
          <w:sz w:val="22"/>
          <w:szCs w:val="22"/>
        </w:rPr>
      </w:pPr>
    </w:p>
    <w:p w14:paraId="1E240465" w14:textId="1ED490FD" w:rsidR="00AB3676" w:rsidRPr="00630DAD" w:rsidRDefault="0021382E" w:rsidP="00251E0C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/>
          <w:sz w:val="22"/>
          <w:szCs w:val="22"/>
        </w:rPr>
        <w:tab/>
        <w:t xml:space="preserve">Com efeito, o objetivo do presente parecer é </w:t>
      </w:r>
      <w:r w:rsidR="00214A8E" w:rsidRPr="00630DAD">
        <w:rPr>
          <w:rFonts w:ascii="Century Gothic" w:hAnsi="Century Gothic"/>
          <w:sz w:val="22"/>
          <w:szCs w:val="22"/>
        </w:rPr>
        <w:t>a análise</w:t>
      </w:r>
      <w:r w:rsidRPr="00630DAD">
        <w:rPr>
          <w:rFonts w:ascii="Century Gothic" w:hAnsi="Century Gothic"/>
          <w:sz w:val="22"/>
          <w:szCs w:val="22"/>
        </w:rPr>
        <w:t xml:space="preserve"> jurídica da contratação a ser realizada pela Administração Pública, e sua abrangência </w:t>
      </w:r>
      <w:r w:rsidR="00BB3255" w:rsidRPr="00630DAD">
        <w:rPr>
          <w:rFonts w:ascii="Century Gothic" w:hAnsi="Century Gothic"/>
          <w:sz w:val="22"/>
          <w:szCs w:val="22"/>
        </w:rPr>
        <w:t xml:space="preserve">é </w:t>
      </w:r>
      <w:r w:rsidRPr="00630DAD">
        <w:rPr>
          <w:rFonts w:ascii="Century Gothic" w:hAnsi="Century Gothic"/>
          <w:sz w:val="22"/>
          <w:szCs w:val="22"/>
        </w:rPr>
        <w:t xml:space="preserve">limitada a questão jurídica, excluída da análise, portanto, os demais aspectos </w:t>
      </w:r>
      <w:r w:rsidR="00E335A5" w:rsidRPr="00630DAD">
        <w:rPr>
          <w:rFonts w:ascii="Century Gothic" w:hAnsi="Century Gothic"/>
          <w:sz w:val="22"/>
          <w:szCs w:val="22"/>
        </w:rPr>
        <w:t xml:space="preserve">como de natureza técnica, mercadológica, detalhamento do objeto da contratação, suas características, requisitos e avaliação do preço estimado, </w:t>
      </w:r>
      <w:r w:rsidR="00E335A5" w:rsidRPr="00630DAD">
        <w:rPr>
          <w:rFonts w:ascii="Century Gothic" w:hAnsi="Century Gothic"/>
          <w:sz w:val="22"/>
          <w:szCs w:val="22"/>
        </w:rPr>
        <w:lastRenderedPageBreak/>
        <w:t>ou, como dito, de conveniência e oportunidade, que presumem-se terem sido apuradas pelos respectivos setores competentes.</w:t>
      </w:r>
    </w:p>
    <w:p w14:paraId="6C74CA0F" w14:textId="614C4AF6" w:rsidR="00AB3676" w:rsidRPr="00630DAD" w:rsidRDefault="008239F5" w:rsidP="00251E0C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/>
          <w:sz w:val="22"/>
          <w:szCs w:val="22"/>
        </w:rPr>
        <w:t xml:space="preserve"> </w:t>
      </w:r>
      <w:r w:rsidR="00D53E28" w:rsidRPr="00630DAD">
        <w:rPr>
          <w:rFonts w:ascii="Century Gothic" w:hAnsi="Century Gothic"/>
          <w:sz w:val="22"/>
          <w:szCs w:val="22"/>
        </w:rPr>
        <w:tab/>
      </w:r>
    </w:p>
    <w:p w14:paraId="46E4AABD" w14:textId="2F5ED02C" w:rsidR="005615CF" w:rsidRPr="00630DAD" w:rsidRDefault="005615CF" w:rsidP="00251E0C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/>
          <w:sz w:val="22"/>
          <w:szCs w:val="22"/>
        </w:rPr>
        <w:tab/>
        <w:t>Destarte, o presente parecer cumprirá a finalidade preconizada na Nova Lei de Licitações e, as questões relacionadas à legalidade serão apontadas para fins de correção, se for o caso, e o prosseguimento do processo sem as devidas correções, será de responsabilidade exclusiva da Administração Pública, considerando a não vinculação do parecer jurídico.</w:t>
      </w:r>
    </w:p>
    <w:p w14:paraId="56833241" w14:textId="77777777" w:rsidR="00A50CFD" w:rsidRPr="00630DAD" w:rsidRDefault="00A50CFD" w:rsidP="00251E0C">
      <w:pPr>
        <w:jc w:val="both"/>
        <w:rPr>
          <w:rFonts w:ascii="Century Gothic" w:hAnsi="Century Gothic"/>
          <w:sz w:val="22"/>
          <w:szCs w:val="22"/>
        </w:rPr>
      </w:pPr>
    </w:p>
    <w:p w14:paraId="2682B3E9" w14:textId="713F08E2" w:rsidR="00AB3676" w:rsidRPr="00630DAD" w:rsidRDefault="000C0315" w:rsidP="00251E0C">
      <w:pPr>
        <w:pStyle w:val="PargrafodaLista"/>
        <w:numPr>
          <w:ilvl w:val="1"/>
          <w:numId w:val="20"/>
        </w:numPr>
        <w:spacing w:line="240" w:lineRule="auto"/>
        <w:jc w:val="both"/>
        <w:rPr>
          <w:rFonts w:ascii="Century Gothic" w:hAnsi="Century Gothic"/>
          <w:b/>
          <w:bCs/>
        </w:rPr>
      </w:pPr>
      <w:r w:rsidRPr="00630DAD">
        <w:rPr>
          <w:rFonts w:ascii="Century Gothic" w:hAnsi="Century Gothic"/>
          <w:b/>
          <w:bCs/>
        </w:rPr>
        <w:t xml:space="preserve">DA </w:t>
      </w:r>
      <w:r w:rsidR="00BB3255" w:rsidRPr="00630DAD">
        <w:rPr>
          <w:rFonts w:ascii="Century Gothic" w:hAnsi="Century Gothic"/>
          <w:b/>
          <w:bCs/>
        </w:rPr>
        <w:t xml:space="preserve">ANÁLISE JURÍDICA DA </w:t>
      </w:r>
      <w:r w:rsidR="003E30E1">
        <w:rPr>
          <w:rFonts w:ascii="Century Gothic" w:hAnsi="Century Gothic"/>
          <w:b/>
          <w:bCs/>
        </w:rPr>
        <w:t>INEXIGIBILIDADE</w:t>
      </w:r>
      <w:r w:rsidR="00BB3255" w:rsidRPr="00630DAD">
        <w:rPr>
          <w:rFonts w:ascii="Century Gothic" w:hAnsi="Century Gothic"/>
          <w:b/>
          <w:bCs/>
        </w:rPr>
        <w:t xml:space="preserve"> DE LICITAÇÃO</w:t>
      </w:r>
    </w:p>
    <w:p w14:paraId="534EC5CF" w14:textId="5DC1B0D4" w:rsidR="00E256C6" w:rsidRPr="00630DAD" w:rsidRDefault="00E256C6" w:rsidP="00E256C6">
      <w:pPr>
        <w:jc w:val="both"/>
        <w:rPr>
          <w:rFonts w:ascii="Century Gothic" w:hAnsi="Century Gothic"/>
          <w:sz w:val="22"/>
          <w:szCs w:val="22"/>
        </w:rPr>
      </w:pPr>
      <w:r w:rsidRPr="00630DAD">
        <w:rPr>
          <w:rFonts w:ascii="Century Gothic" w:hAnsi="Century Gothic"/>
          <w:sz w:val="22"/>
          <w:szCs w:val="22"/>
        </w:rPr>
        <w:t xml:space="preserve"> </w:t>
      </w:r>
      <w:r w:rsidRPr="00630DAD">
        <w:rPr>
          <w:rFonts w:ascii="Century Gothic" w:hAnsi="Century Gothic"/>
          <w:sz w:val="22"/>
          <w:szCs w:val="22"/>
        </w:rPr>
        <w:tab/>
        <w:t xml:space="preserve">Conforme previsão do inciso XXI, do art. 37 da Constituição Federal, a Administração pública em estrita obediência aos princípios da legalidade, impessoalidade, moralidade, publicidade e eficiência deve realizar processo licitatório para contratação de obras, serviços, compras e alienações, salvo as exceções especificadas na legislação </w:t>
      </w:r>
      <w:r w:rsidRPr="00630DAD">
        <w:rPr>
          <w:rFonts w:ascii="Century Gothic" w:hAnsi="Century Gothic" w:cs="Arial"/>
          <w:sz w:val="22"/>
          <w:szCs w:val="22"/>
        </w:rPr>
        <w:t>de dispensa e inexigibilidade de licitação elencadas nos artigos 74 e 75 da Lei 14.133/21.</w:t>
      </w:r>
    </w:p>
    <w:p w14:paraId="10076C4C" w14:textId="77777777" w:rsidR="00E256C6" w:rsidRPr="00630DAD" w:rsidRDefault="00E256C6" w:rsidP="00E256C6">
      <w:pPr>
        <w:jc w:val="both"/>
        <w:rPr>
          <w:rFonts w:ascii="Century Gothic" w:hAnsi="Century Gothic" w:cs="Arial"/>
          <w:sz w:val="22"/>
          <w:szCs w:val="22"/>
        </w:rPr>
      </w:pPr>
    </w:p>
    <w:p w14:paraId="07D247C6" w14:textId="528E77DE" w:rsidR="00E256C6" w:rsidRPr="00630DAD" w:rsidRDefault="00E256C6" w:rsidP="00E256C6">
      <w:pPr>
        <w:jc w:val="both"/>
        <w:rPr>
          <w:rFonts w:ascii="Century Gothic" w:hAnsi="Century Gothic" w:cs="Arial"/>
          <w:sz w:val="22"/>
          <w:szCs w:val="22"/>
        </w:rPr>
      </w:pPr>
      <w:r w:rsidRPr="00630DAD">
        <w:rPr>
          <w:rFonts w:ascii="Century Gothic" w:hAnsi="Century Gothic" w:cs="Arial"/>
          <w:sz w:val="22"/>
          <w:szCs w:val="22"/>
        </w:rPr>
        <w:t xml:space="preserve"> </w:t>
      </w:r>
      <w:r w:rsidRPr="00630DAD">
        <w:rPr>
          <w:rFonts w:ascii="Century Gothic" w:hAnsi="Century Gothic" w:cs="Arial"/>
          <w:sz w:val="22"/>
          <w:szCs w:val="22"/>
        </w:rPr>
        <w:tab/>
        <w:t>Pela norma inserta no artigo 7</w:t>
      </w:r>
      <w:r w:rsidR="00AE6B90">
        <w:rPr>
          <w:rFonts w:ascii="Century Gothic" w:hAnsi="Century Gothic" w:cs="Arial"/>
          <w:sz w:val="22"/>
          <w:szCs w:val="22"/>
        </w:rPr>
        <w:t>4</w:t>
      </w:r>
      <w:r w:rsidRPr="00630DAD">
        <w:rPr>
          <w:rFonts w:ascii="Century Gothic" w:hAnsi="Century Gothic" w:cs="Arial"/>
          <w:sz w:val="22"/>
          <w:szCs w:val="22"/>
        </w:rPr>
        <w:t>, da Lei 1</w:t>
      </w:r>
      <w:r w:rsidR="00AE6B90">
        <w:rPr>
          <w:rFonts w:ascii="Century Gothic" w:hAnsi="Century Gothic" w:cs="Arial"/>
          <w:sz w:val="22"/>
          <w:szCs w:val="22"/>
        </w:rPr>
        <w:t>4</w:t>
      </w:r>
      <w:r w:rsidRPr="00630DAD">
        <w:rPr>
          <w:rFonts w:ascii="Century Gothic" w:hAnsi="Century Gothic" w:cs="Arial"/>
          <w:sz w:val="22"/>
          <w:szCs w:val="22"/>
        </w:rPr>
        <w:t>.133/21, é inexigível a licitação nos seguintes casos:</w:t>
      </w:r>
    </w:p>
    <w:p w14:paraId="44E2562A" w14:textId="5ABC0941" w:rsidR="00D23E60" w:rsidRDefault="00D23E60" w:rsidP="00D23E60">
      <w:pPr>
        <w:pStyle w:val="NormalWeb"/>
        <w:spacing w:before="225" w:beforeAutospacing="0" w:after="225" w:afterAutospacing="0"/>
        <w:ind w:left="2268"/>
        <w:jc w:val="both"/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</w:pPr>
      <w:r w:rsidRPr="00630DAD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  <w:t>Art. 7</w:t>
      </w:r>
      <w:r w:rsidR="00AE6B90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  <w:t>4</w:t>
      </w:r>
      <w:r w:rsidRPr="00630DAD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  <w:t>.</w:t>
      </w:r>
      <w:r w:rsidR="0023732D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  <w:t xml:space="preserve"> É</w:t>
      </w:r>
      <w:proofErr w:type="gramStart"/>
      <w:r w:rsidRPr="00630DAD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  <w:t xml:space="preserve"> </w:t>
      </w:r>
      <w:r w:rsidR="00AE6B90" w:rsidRPr="00AE6B90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  <w:t> </w:t>
      </w:r>
      <w:proofErr w:type="gramEnd"/>
      <w:r w:rsidR="00AE6B90" w:rsidRPr="00AE6B90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  <w:t>inexigível a licitação quando inviável a competição, em especial nos casos de</w:t>
      </w:r>
      <w:r w:rsidR="0023732D">
        <w:rPr>
          <w:rFonts w:ascii="Century Gothic" w:hAnsi="Century Gothic" w:cs="Arial"/>
          <w:b/>
          <w:bCs/>
          <w:i/>
          <w:iCs/>
          <w:color w:val="000000"/>
          <w:sz w:val="22"/>
          <w:szCs w:val="22"/>
        </w:rPr>
        <w:t>:</w:t>
      </w:r>
    </w:p>
    <w:p w14:paraId="5E2B1349" w14:textId="77777777" w:rsidR="0023732D" w:rsidRPr="0023732D" w:rsidRDefault="0023732D" w:rsidP="0023732D">
      <w:pPr>
        <w:pStyle w:val="NormalWeb"/>
        <w:ind w:left="2268"/>
        <w:rPr>
          <w:rFonts w:ascii="Century Gothic" w:hAnsi="Century Gothic"/>
          <w:i/>
          <w:iCs/>
          <w:color w:val="000000"/>
          <w:sz w:val="22"/>
          <w:szCs w:val="22"/>
        </w:rPr>
      </w:pPr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 xml:space="preserve">I - aquisição de materiais, de equipamentos ou de gêneros ou contratação de serviços que só possam ser fornecidos por produtor, empresa ou </w:t>
      </w:r>
      <w:proofErr w:type="gramStart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representante comercial exclusivos</w:t>
      </w:r>
      <w:proofErr w:type="gramEnd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;</w:t>
      </w:r>
    </w:p>
    <w:p w14:paraId="358FBE19" w14:textId="77777777" w:rsidR="0023732D" w:rsidRPr="0023732D" w:rsidRDefault="0023732D" w:rsidP="0023732D">
      <w:pPr>
        <w:pStyle w:val="NormalWeb"/>
        <w:ind w:left="2268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" w:name="art74ii"/>
      <w:bookmarkEnd w:id="1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II - contratação de profissional do setor artístico, diretamente ou por meio de empresário exclusivo, desde que consagrado pela crítica especializada ou pela opinião pública;</w:t>
      </w:r>
    </w:p>
    <w:p w14:paraId="667C921B" w14:textId="77777777" w:rsidR="0023732D" w:rsidRPr="0023732D" w:rsidRDefault="0023732D" w:rsidP="0023732D">
      <w:pPr>
        <w:pStyle w:val="NormalWeb"/>
        <w:ind w:left="2268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bookmarkStart w:id="2" w:name="art74iii"/>
      <w:bookmarkEnd w:id="2"/>
      <w:r w:rsidRPr="0023732D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III - contratação dos seguintes serviços técnicos especializados de natureza predominantemente intelectual com profissionais ou empresas de notória especialização, vedada a inexigibilidade para serviços de publicidade e divulgação:</w:t>
      </w:r>
    </w:p>
    <w:p w14:paraId="53FE0B85" w14:textId="77777777" w:rsidR="0023732D" w:rsidRPr="0023732D" w:rsidRDefault="0023732D" w:rsidP="0023732D">
      <w:pPr>
        <w:pStyle w:val="NormalWeb"/>
        <w:ind w:left="2268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3" w:name="art74iiia"/>
      <w:bookmarkEnd w:id="3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a) estudos técnicos, planejamentos, projetos básicos ou projetos executivos;</w:t>
      </w:r>
    </w:p>
    <w:p w14:paraId="540CD4DE" w14:textId="77777777" w:rsidR="0023732D" w:rsidRPr="0023732D" w:rsidRDefault="0023732D" w:rsidP="0023732D">
      <w:pPr>
        <w:pStyle w:val="NormalWeb"/>
        <w:ind w:left="2268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4" w:name="art74iiib"/>
      <w:bookmarkEnd w:id="4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b) pareceres, perícias e avaliações em geral;</w:t>
      </w:r>
    </w:p>
    <w:p w14:paraId="0B4F238A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bookmarkStart w:id="5" w:name="art74iiic"/>
      <w:bookmarkEnd w:id="5"/>
      <w:r w:rsidRPr="0023732D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c) assessorias ou consultorias técnicas e auditorias financeiras ou tributárias;</w:t>
      </w:r>
    </w:p>
    <w:p w14:paraId="76132545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6" w:name="art74iiid"/>
      <w:bookmarkEnd w:id="6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lastRenderedPageBreak/>
        <w:t>d) fiscalização, supervisão ou gerenciamento de obras ou serviços;</w:t>
      </w:r>
    </w:p>
    <w:p w14:paraId="5789B47D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bookmarkStart w:id="7" w:name="art74iiie"/>
      <w:bookmarkEnd w:id="7"/>
      <w:r w:rsidRPr="0023732D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e) patrocínio ou defesa de causas judiciais ou administrativas;</w:t>
      </w:r>
    </w:p>
    <w:p w14:paraId="58DDF2F4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8" w:name="art74iiif"/>
      <w:bookmarkEnd w:id="8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f) treinamento e aperfeiçoamento de pessoal;</w:t>
      </w:r>
    </w:p>
    <w:p w14:paraId="55BE68C9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9" w:name="art74iiig"/>
      <w:bookmarkEnd w:id="9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g) restauração de obras de arte e de bens de valor histórico;</w:t>
      </w:r>
    </w:p>
    <w:p w14:paraId="04C6C150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0" w:name="art74iiih"/>
      <w:bookmarkEnd w:id="10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h) controles de qualidade e tecnológico, análises, testes e ensaios de campo e laboratoriais, instrumentação e monitoramento de parâmetros específicos de obras e do meio ambiente e demais serviços de engenharia que se enquadrem no disposto neste inciso;</w:t>
      </w:r>
    </w:p>
    <w:p w14:paraId="57F2C8D1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1" w:name="art74iv"/>
      <w:bookmarkEnd w:id="11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IV - objetos que devam ou possam ser contratados por meio de credenciamento;</w:t>
      </w:r>
    </w:p>
    <w:p w14:paraId="180EE0F4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2" w:name="art74v"/>
      <w:bookmarkEnd w:id="12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V - aquisição ou locação de imóvel cujas características de instalações e de localização tornem necessária sua escolha.</w:t>
      </w:r>
    </w:p>
    <w:p w14:paraId="0DD8C11E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3" w:name="art74§1"/>
      <w:bookmarkEnd w:id="13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§ 1º Para fins do disposto no inciso I do caput deste artigo, a Administração deverá demonstrar a inviabilidade de competição mediante atestado de exclusividade, contrato de exclusividade, declaração do fabricante ou outro documento idôneo capaz de comprovar que o objeto é fornecido ou prestado por produtor, empresa ou representante comercial exclusivos, vedada a preferência por marca específica.</w:t>
      </w:r>
    </w:p>
    <w:p w14:paraId="4F755285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4" w:name="art74§2"/>
      <w:bookmarkEnd w:id="14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§ 2º Para fins do disposto no inciso II do caput deste artigo, considera-se empresário exclusivo a pessoa física ou jurídica que possua contrato, declaração, carta ou outro documento que ateste a exclusividade permanente e contínua de representação, no País ou em Estado específico, do profissional do setor artístico, afastada a possibilidade de contratação direta por inexigibilidade por meio de empresário com representação restrita a evento ou local específico.</w:t>
      </w:r>
    </w:p>
    <w:p w14:paraId="62EBA21D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5" w:name="art74§3"/>
      <w:bookmarkEnd w:id="15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 xml:space="preserve">§ 3º Para fins do disposto no inciso III do caput deste artigo, considera-se de notória especialização o profissional ou a empresa cujo conceito no campo de sua especialidade, decorrente de desempenho anterior, estudos, experiência, publicações, organização, </w:t>
      </w:r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lastRenderedPageBreak/>
        <w:t>aparelhamento, equipe técnica ou outros requisitos relacionados com suas atividades, permita inferir que o seu trabalho é essencial e reconhecidamente adequado à plena satisfação do objeto do contrato.</w:t>
      </w:r>
    </w:p>
    <w:p w14:paraId="04B71EA9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6" w:name="art74§4"/>
      <w:bookmarkEnd w:id="16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§ 4º Nas contratações com fundamento no inciso III do caput deste artigo, é vedada a subcontratação de empresas ou a atuação de profissionais distintos daqueles que tenham justificado a inexigibilidade.</w:t>
      </w:r>
    </w:p>
    <w:p w14:paraId="001FF0FF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7" w:name="art74§5"/>
      <w:bookmarkEnd w:id="17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§ 5º Nas contratações com fundamento no inciso V do caput deste artigo, devem ser observados os seguintes requisitos:</w:t>
      </w:r>
    </w:p>
    <w:p w14:paraId="646D1192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8" w:name="art74§5i"/>
      <w:bookmarkEnd w:id="18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I - avaliação prévia do bem, do seu estado de conservação, dos custos de adaptações, quando imprescindíveis às necessidades de utilização, e do prazo de amortização dos investimentos;</w:t>
      </w:r>
    </w:p>
    <w:p w14:paraId="4747EAF4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19" w:name="art74§5ii"/>
      <w:bookmarkEnd w:id="19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II - certificação da inexistência de imóveis públicos vagos e disponíveis que atendam ao objeto;</w:t>
      </w:r>
    </w:p>
    <w:p w14:paraId="2D0D5D7F" w14:textId="77777777" w:rsidR="0023732D" w:rsidRPr="0023732D" w:rsidRDefault="0023732D" w:rsidP="001133DD">
      <w:pPr>
        <w:pStyle w:val="NormalWeb"/>
        <w:ind w:left="2268"/>
        <w:jc w:val="both"/>
        <w:rPr>
          <w:rFonts w:ascii="Century Gothic" w:hAnsi="Century Gothic"/>
          <w:i/>
          <w:iCs/>
          <w:color w:val="000000"/>
          <w:sz w:val="22"/>
          <w:szCs w:val="22"/>
        </w:rPr>
      </w:pPr>
      <w:bookmarkStart w:id="20" w:name="art74§5iii"/>
      <w:bookmarkEnd w:id="20"/>
      <w:r w:rsidRPr="0023732D">
        <w:rPr>
          <w:rFonts w:ascii="Century Gothic" w:hAnsi="Century Gothic"/>
          <w:i/>
          <w:iCs/>
          <w:color w:val="000000"/>
          <w:sz w:val="22"/>
          <w:szCs w:val="22"/>
        </w:rPr>
        <w:t>III - justificativas que demonstrem a singularidade do imóvel a ser comprado ou locado pela Administração e que evidenciem vantagem para ela</w:t>
      </w:r>
    </w:p>
    <w:p w14:paraId="176658E3" w14:textId="77777777" w:rsidR="0023732D" w:rsidRPr="00630DAD" w:rsidRDefault="0023732D" w:rsidP="00D23E60">
      <w:pPr>
        <w:pStyle w:val="NormalWeb"/>
        <w:spacing w:before="225" w:beforeAutospacing="0" w:after="225" w:afterAutospacing="0"/>
        <w:ind w:left="2268"/>
        <w:jc w:val="both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</w:p>
    <w:p w14:paraId="00CEB5D0" w14:textId="77777777" w:rsidR="00FA3867" w:rsidRPr="00FA3867" w:rsidRDefault="00350368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  <w:bookmarkStart w:id="21" w:name="art75i"/>
      <w:bookmarkEnd w:id="21"/>
      <w:r w:rsidRPr="00630DAD">
        <w:rPr>
          <w:rFonts w:ascii="Century Gothic" w:hAnsi="Century Gothic" w:cs="Verdana"/>
          <w:bCs/>
          <w:sz w:val="22"/>
          <w:szCs w:val="22"/>
        </w:rPr>
        <w:tab/>
      </w:r>
      <w:r w:rsidR="00FA3867" w:rsidRPr="00FA3867">
        <w:rPr>
          <w:rFonts w:ascii="Century Gothic" w:hAnsi="Century Gothic" w:cs="Verdana"/>
          <w:bCs/>
          <w:sz w:val="22"/>
          <w:szCs w:val="22"/>
        </w:rPr>
        <w:t>Tal como depreende-se da legislação destacada, é inexigível a licitação</w:t>
      </w:r>
    </w:p>
    <w:p w14:paraId="1521AFED" w14:textId="77777777" w:rsidR="00FA3867" w:rsidRP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  <w:r w:rsidRPr="00FA3867">
        <w:rPr>
          <w:rFonts w:ascii="Century Gothic" w:hAnsi="Century Gothic" w:cs="Verdana"/>
          <w:bCs/>
          <w:sz w:val="22"/>
          <w:szCs w:val="22"/>
        </w:rPr>
        <w:t>no caso em comento, desde que seja observado o teor da redação do §3º, no</w:t>
      </w:r>
    </w:p>
    <w:p w14:paraId="4866D5E3" w14:textId="77777777" w:rsid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  <w:r w:rsidRPr="00FA3867">
        <w:rPr>
          <w:rFonts w:ascii="Century Gothic" w:hAnsi="Century Gothic" w:cs="Verdana"/>
          <w:bCs/>
          <w:sz w:val="22"/>
          <w:szCs w:val="22"/>
        </w:rPr>
        <w:t>que tange a notória especialização.</w:t>
      </w:r>
    </w:p>
    <w:p w14:paraId="7A5C6369" w14:textId="77777777" w:rsidR="00FA3867" w:rsidRP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</w:p>
    <w:p w14:paraId="7AD8453D" w14:textId="2A0BC351" w:rsidR="00FA3867" w:rsidRPr="001133DD" w:rsidRDefault="00FA3867" w:rsidP="001133DD">
      <w:pPr>
        <w:ind w:firstLine="70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FA3867">
        <w:rPr>
          <w:rFonts w:ascii="Century Gothic" w:hAnsi="Century Gothic" w:cs="Verdana"/>
          <w:bCs/>
          <w:sz w:val="22"/>
          <w:szCs w:val="22"/>
        </w:rPr>
        <w:t xml:space="preserve">Citando o Professor Hely Lopes Meireles, </w:t>
      </w:r>
      <w:r w:rsidRPr="001133DD">
        <w:rPr>
          <w:rFonts w:ascii="Century Gothic" w:hAnsi="Century Gothic" w:cs="Verdana"/>
          <w:bCs/>
          <w:i/>
          <w:iCs/>
          <w:sz w:val="22"/>
          <w:szCs w:val="22"/>
        </w:rPr>
        <w:t>“ocorre inexigibilidade de</w:t>
      </w:r>
      <w:r w:rsidR="001133DD">
        <w:rPr>
          <w:rFonts w:ascii="Century Gothic" w:hAnsi="Century Gothic" w:cs="Verdana"/>
          <w:bCs/>
          <w:i/>
          <w:iCs/>
          <w:sz w:val="22"/>
          <w:szCs w:val="22"/>
        </w:rPr>
        <w:t xml:space="preserve"> </w:t>
      </w:r>
      <w:r w:rsidRPr="001133DD">
        <w:rPr>
          <w:rFonts w:ascii="Century Gothic" w:hAnsi="Century Gothic" w:cs="Verdana"/>
          <w:bCs/>
          <w:i/>
          <w:iCs/>
          <w:sz w:val="22"/>
          <w:szCs w:val="22"/>
        </w:rPr>
        <w:t>licitação, quando há impossibilidade jurídica de competição entre contratantes, quer pela natureza específica do negócio, quer pelos objetivos</w:t>
      </w:r>
    </w:p>
    <w:p w14:paraId="55E52A7F" w14:textId="77777777" w:rsidR="00FA3867" w:rsidRP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  <w:proofErr w:type="gramStart"/>
      <w:r w:rsidRPr="001133DD">
        <w:rPr>
          <w:rFonts w:ascii="Century Gothic" w:hAnsi="Century Gothic" w:cs="Verdana"/>
          <w:bCs/>
          <w:i/>
          <w:iCs/>
          <w:sz w:val="22"/>
          <w:szCs w:val="22"/>
        </w:rPr>
        <w:t>sociais</w:t>
      </w:r>
      <w:proofErr w:type="gramEnd"/>
      <w:r w:rsidRPr="001133DD">
        <w:rPr>
          <w:rFonts w:ascii="Century Gothic" w:hAnsi="Century Gothic" w:cs="Verdana"/>
          <w:bCs/>
          <w:i/>
          <w:iCs/>
          <w:sz w:val="22"/>
          <w:szCs w:val="22"/>
        </w:rPr>
        <w:t xml:space="preserve"> visados pela Administração.”</w:t>
      </w:r>
      <w:r w:rsidRPr="00FA3867">
        <w:rPr>
          <w:rFonts w:ascii="Century Gothic" w:hAnsi="Century Gothic" w:cs="Verdana"/>
          <w:bCs/>
          <w:sz w:val="22"/>
          <w:szCs w:val="22"/>
        </w:rPr>
        <w:t xml:space="preserve"> (Direito Administrativo Brasileiro, 22º ed. São</w:t>
      </w:r>
    </w:p>
    <w:p w14:paraId="539C355C" w14:textId="77777777" w:rsid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  <w:r w:rsidRPr="00FA3867">
        <w:rPr>
          <w:rFonts w:ascii="Century Gothic" w:hAnsi="Century Gothic" w:cs="Verdana"/>
          <w:bCs/>
          <w:sz w:val="22"/>
          <w:szCs w:val="22"/>
        </w:rPr>
        <w:t>Paulo: Malheiros, 1997. pp. 245 e ss.).</w:t>
      </w:r>
    </w:p>
    <w:p w14:paraId="5B69C238" w14:textId="034CBACF" w:rsidR="00FA3867" w:rsidRP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  <w:r>
        <w:rPr>
          <w:rFonts w:ascii="Century Gothic" w:hAnsi="Century Gothic" w:cs="Verdana"/>
          <w:bCs/>
          <w:sz w:val="22"/>
          <w:szCs w:val="22"/>
        </w:rPr>
        <w:tab/>
      </w:r>
    </w:p>
    <w:p w14:paraId="2AB7E17D" w14:textId="77777777" w:rsidR="00FA3867" w:rsidRPr="00FA3867" w:rsidRDefault="00FA386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FA3867">
        <w:rPr>
          <w:rFonts w:ascii="Century Gothic" w:hAnsi="Century Gothic" w:cs="Verdana"/>
          <w:bCs/>
          <w:sz w:val="22"/>
          <w:szCs w:val="22"/>
        </w:rPr>
        <w:t>Em todos os casos a licitação é inexigível em razão da impossibilidade</w:t>
      </w:r>
    </w:p>
    <w:p w14:paraId="508BEE86" w14:textId="20E1806F" w:rsidR="00FA3867" w:rsidRP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  <w:r w:rsidRPr="00FA3867">
        <w:rPr>
          <w:rFonts w:ascii="Century Gothic" w:hAnsi="Century Gothic" w:cs="Verdana"/>
          <w:bCs/>
          <w:sz w:val="22"/>
          <w:szCs w:val="22"/>
        </w:rPr>
        <w:t>jurídica de se instaurar o certame entre eventuais competidores, ou se o</w:t>
      </w:r>
      <w:r>
        <w:rPr>
          <w:rFonts w:ascii="Century Gothic" w:hAnsi="Century Gothic" w:cs="Verdana"/>
          <w:bCs/>
          <w:sz w:val="22"/>
          <w:szCs w:val="22"/>
        </w:rPr>
        <w:t xml:space="preserve"> </w:t>
      </w:r>
      <w:r w:rsidRPr="00FA3867">
        <w:rPr>
          <w:rFonts w:ascii="Century Gothic" w:hAnsi="Century Gothic" w:cs="Verdana"/>
          <w:bCs/>
          <w:sz w:val="22"/>
          <w:szCs w:val="22"/>
        </w:rPr>
        <w:t>contratado é o único que reúne as condições necessárias à plena satisfação</w:t>
      </w:r>
    </w:p>
    <w:p w14:paraId="234A7169" w14:textId="77777777" w:rsid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  <w:r w:rsidRPr="00FA3867">
        <w:rPr>
          <w:rFonts w:ascii="Century Gothic" w:hAnsi="Century Gothic" w:cs="Verdana"/>
          <w:bCs/>
          <w:sz w:val="22"/>
          <w:szCs w:val="22"/>
        </w:rPr>
        <w:t>do objeto do contrato.</w:t>
      </w:r>
    </w:p>
    <w:p w14:paraId="1D497C46" w14:textId="77777777" w:rsidR="00FA3867" w:rsidRPr="00FA3867" w:rsidRDefault="00FA3867" w:rsidP="00FA3867">
      <w:pPr>
        <w:jc w:val="both"/>
        <w:rPr>
          <w:rFonts w:ascii="Century Gothic" w:hAnsi="Century Gothic" w:cs="Verdana"/>
          <w:bCs/>
          <w:sz w:val="22"/>
          <w:szCs w:val="22"/>
        </w:rPr>
      </w:pPr>
    </w:p>
    <w:p w14:paraId="0AE8AE43" w14:textId="6558ECAE" w:rsidR="00FA3867" w:rsidRDefault="00FA386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FA3867">
        <w:rPr>
          <w:rFonts w:ascii="Century Gothic" w:hAnsi="Century Gothic" w:cs="Verdana"/>
          <w:bCs/>
          <w:sz w:val="22"/>
          <w:szCs w:val="22"/>
        </w:rPr>
        <w:t xml:space="preserve">No caso em comento, o </w:t>
      </w:r>
      <w:r>
        <w:rPr>
          <w:rFonts w:ascii="Century Gothic" w:hAnsi="Century Gothic" w:cs="Verdana"/>
          <w:bCs/>
          <w:sz w:val="22"/>
          <w:szCs w:val="22"/>
        </w:rPr>
        <w:t xml:space="preserve">Termo de Referência, bem como o Estudo Técnico Preliminar </w:t>
      </w:r>
      <w:r w:rsidRPr="00FA3867">
        <w:rPr>
          <w:rFonts w:ascii="Century Gothic" w:hAnsi="Century Gothic" w:cs="Verdana"/>
          <w:bCs/>
          <w:sz w:val="22"/>
          <w:szCs w:val="22"/>
        </w:rPr>
        <w:t>fundamenta a escolha da empresa a ser contratada e especialmente a notória</w:t>
      </w:r>
      <w:r>
        <w:rPr>
          <w:rFonts w:ascii="Century Gothic" w:hAnsi="Century Gothic" w:cs="Verdana"/>
          <w:bCs/>
          <w:sz w:val="22"/>
          <w:szCs w:val="22"/>
        </w:rPr>
        <w:t xml:space="preserve"> </w:t>
      </w:r>
      <w:r w:rsidRPr="00FA3867">
        <w:rPr>
          <w:rFonts w:ascii="Century Gothic" w:hAnsi="Century Gothic" w:cs="Verdana"/>
          <w:bCs/>
          <w:sz w:val="22"/>
          <w:szCs w:val="22"/>
        </w:rPr>
        <w:t xml:space="preserve">especialização do profissional responsável pela </w:t>
      </w:r>
      <w:r w:rsidRPr="00FA3867">
        <w:rPr>
          <w:rFonts w:ascii="Century Gothic" w:hAnsi="Century Gothic" w:cs="Verdana"/>
          <w:bCs/>
          <w:sz w:val="22"/>
          <w:szCs w:val="22"/>
        </w:rPr>
        <w:lastRenderedPageBreak/>
        <w:t>mesma, inclusive citando partes</w:t>
      </w:r>
      <w:r>
        <w:rPr>
          <w:rFonts w:ascii="Century Gothic" w:hAnsi="Century Gothic" w:cs="Verdana"/>
          <w:bCs/>
          <w:sz w:val="22"/>
          <w:szCs w:val="22"/>
        </w:rPr>
        <w:t xml:space="preserve"> </w:t>
      </w:r>
      <w:r w:rsidRPr="00FA3867">
        <w:rPr>
          <w:rFonts w:ascii="Century Gothic" w:hAnsi="Century Gothic" w:cs="Verdana"/>
          <w:bCs/>
          <w:sz w:val="22"/>
          <w:szCs w:val="22"/>
        </w:rPr>
        <w:t>de julgados recentes do TCE/MG, que dispõe sobre a legalidade no</w:t>
      </w:r>
      <w:r>
        <w:rPr>
          <w:rFonts w:ascii="Century Gothic" w:hAnsi="Century Gothic" w:cs="Verdana"/>
          <w:bCs/>
          <w:sz w:val="22"/>
          <w:szCs w:val="22"/>
        </w:rPr>
        <w:t xml:space="preserve"> </w:t>
      </w:r>
      <w:r w:rsidRPr="00FA3867">
        <w:rPr>
          <w:rFonts w:ascii="Century Gothic" w:hAnsi="Century Gothic" w:cs="Verdana"/>
          <w:bCs/>
          <w:sz w:val="22"/>
          <w:szCs w:val="22"/>
        </w:rPr>
        <w:t>reconhecimento e na adoção do critério de confiança e experiência</w:t>
      </w:r>
      <w:r>
        <w:rPr>
          <w:rFonts w:ascii="Century Gothic" w:hAnsi="Century Gothic" w:cs="Verdana"/>
          <w:bCs/>
          <w:sz w:val="22"/>
          <w:szCs w:val="22"/>
        </w:rPr>
        <w:t xml:space="preserve"> </w:t>
      </w:r>
      <w:r w:rsidRPr="00FA3867">
        <w:rPr>
          <w:rFonts w:ascii="Century Gothic" w:hAnsi="Century Gothic" w:cs="Verdana"/>
          <w:bCs/>
          <w:sz w:val="22"/>
          <w:szCs w:val="22"/>
        </w:rPr>
        <w:t>profissional (desempenho anterior) para fins de atendimento do requisito da</w:t>
      </w:r>
      <w:r>
        <w:rPr>
          <w:rFonts w:ascii="Century Gothic" w:hAnsi="Century Gothic" w:cs="Verdana"/>
          <w:bCs/>
          <w:sz w:val="22"/>
          <w:szCs w:val="22"/>
        </w:rPr>
        <w:t xml:space="preserve"> </w:t>
      </w:r>
      <w:r w:rsidRPr="00FA3867">
        <w:rPr>
          <w:rFonts w:ascii="Century Gothic" w:hAnsi="Century Gothic" w:cs="Verdana"/>
          <w:bCs/>
          <w:sz w:val="22"/>
          <w:szCs w:val="22"/>
        </w:rPr>
        <w:t>notoriedade</w:t>
      </w:r>
      <w:r w:rsidR="00DC4A37">
        <w:rPr>
          <w:rFonts w:ascii="Century Gothic" w:hAnsi="Century Gothic" w:cs="Verdana"/>
          <w:bCs/>
          <w:sz w:val="22"/>
          <w:szCs w:val="22"/>
        </w:rPr>
        <w:t>.</w:t>
      </w:r>
    </w:p>
    <w:p w14:paraId="0C73E924" w14:textId="77777777" w:rsidR="00DC4A37" w:rsidRDefault="00DC4A3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49C9D639" w14:textId="77777777" w:rsidR="00DC4A37" w:rsidRDefault="00DC4A3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DC4A37">
        <w:rPr>
          <w:rFonts w:ascii="Century Gothic" w:hAnsi="Century Gothic" w:cs="Verdana"/>
          <w:bCs/>
          <w:sz w:val="22"/>
          <w:szCs w:val="22"/>
        </w:rPr>
        <w:t>Com efeito, concluiu que a empresa</w:t>
      </w:r>
      <w:r>
        <w:rPr>
          <w:rFonts w:ascii="Century Gothic" w:hAnsi="Century Gothic" w:cs="Verdana"/>
          <w:bCs/>
          <w:sz w:val="22"/>
          <w:szCs w:val="22"/>
        </w:rPr>
        <w:t xml:space="preserve"> </w:t>
      </w:r>
      <w:proofErr w:type="spellStart"/>
      <w:r>
        <w:rPr>
          <w:rFonts w:ascii="Century Gothic" w:hAnsi="Century Gothic" w:cs="Verdana"/>
          <w:bCs/>
          <w:sz w:val="22"/>
          <w:szCs w:val="22"/>
        </w:rPr>
        <w:t>Randolpho</w:t>
      </w:r>
      <w:proofErr w:type="spellEnd"/>
      <w:r>
        <w:rPr>
          <w:rFonts w:ascii="Century Gothic" w:hAnsi="Century Gothic" w:cs="Verdana"/>
          <w:bCs/>
          <w:sz w:val="22"/>
          <w:szCs w:val="22"/>
        </w:rPr>
        <w:t xml:space="preserve"> Martino Júnior Sociedade Individual de Advocacia</w:t>
      </w:r>
      <w:r w:rsidRPr="00DC4A37">
        <w:rPr>
          <w:rFonts w:ascii="Century Gothic" w:hAnsi="Century Gothic" w:cs="Verdana"/>
          <w:bCs/>
          <w:sz w:val="22"/>
          <w:szCs w:val="22"/>
        </w:rPr>
        <w:t>, possui a notória especialização pretendida, demonstrada através da execução de serviços anteriores prestados</w:t>
      </w:r>
      <w:r>
        <w:rPr>
          <w:rFonts w:ascii="Century Gothic" w:hAnsi="Century Gothic" w:cs="Verdana"/>
          <w:bCs/>
          <w:sz w:val="22"/>
          <w:szCs w:val="22"/>
        </w:rPr>
        <w:t xml:space="preserve">, </w:t>
      </w:r>
      <w:r w:rsidRPr="00DC4A37">
        <w:rPr>
          <w:rFonts w:ascii="Century Gothic" w:hAnsi="Century Gothic" w:cs="Verdana"/>
          <w:bCs/>
          <w:sz w:val="22"/>
          <w:szCs w:val="22"/>
        </w:rPr>
        <w:t xml:space="preserve">o que permitiu inferir que o trabalho da mesma é reconhecidamente adequado </w:t>
      </w:r>
      <w:proofErr w:type="gramStart"/>
      <w:r w:rsidRPr="00DC4A37">
        <w:rPr>
          <w:rFonts w:ascii="Century Gothic" w:hAnsi="Century Gothic" w:cs="Verdana"/>
          <w:bCs/>
          <w:sz w:val="22"/>
          <w:szCs w:val="22"/>
        </w:rPr>
        <w:t>a</w:t>
      </w:r>
      <w:proofErr w:type="gramEnd"/>
      <w:r w:rsidRPr="00DC4A37">
        <w:rPr>
          <w:rFonts w:ascii="Century Gothic" w:hAnsi="Century Gothic" w:cs="Verdana"/>
          <w:bCs/>
          <w:sz w:val="22"/>
          <w:szCs w:val="22"/>
        </w:rPr>
        <w:t xml:space="preserve"> satisfação do objeto do contrato.</w:t>
      </w:r>
    </w:p>
    <w:p w14:paraId="3BDFBEE7" w14:textId="77777777" w:rsidR="00DC4A37" w:rsidRDefault="00DC4A3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7901C44B" w14:textId="77777777" w:rsidR="00DC4A37" w:rsidRDefault="00DC4A3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DC4A37">
        <w:rPr>
          <w:rFonts w:ascii="Century Gothic" w:hAnsi="Century Gothic" w:cs="Verdana"/>
          <w:bCs/>
          <w:sz w:val="22"/>
          <w:szCs w:val="22"/>
        </w:rPr>
        <w:t xml:space="preserve"> Com relação a esta questão, recomenda-se a expressa menção do profissional que possui a expertise na empresa, responsável técnico/sócio da mesma, que possui a documentação em seu nome.</w:t>
      </w:r>
    </w:p>
    <w:p w14:paraId="19502C3F" w14:textId="77777777" w:rsidR="00DC4A37" w:rsidRDefault="00DC4A3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2261E523" w14:textId="77777777" w:rsidR="00DC4A37" w:rsidRDefault="00DC4A3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DC4A37">
        <w:rPr>
          <w:rFonts w:ascii="Century Gothic" w:hAnsi="Century Gothic" w:cs="Verdana"/>
          <w:bCs/>
          <w:sz w:val="22"/>
          <w:szCs w:val="22"/>
        </w:rPr>
        <w:t xml:space="preserve"> Ademais, conforme preceitua o art. 72, da Lei nº 14.133/21, o processo de contratação direta, deverá, ainda, ser instruído com os documentos nele elencados. Vejamos: </w:t>
      </w:r>
    </w:p>
    <w:p w14:paraId="3D1C21D3" w14:textId="77777777" w:rsidR="00DC4A37" w:rsidRDefault="00DC4A37" w:rsidP="00FA386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4FFE5142" w14:textId="20A034F3" w:rsidR="00DC4A37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Art. 72. O processo de contratação direta, que compreende os casos de inexigibilidade e de dispensa de licitação, deverá ser instruído com os seguintes documentos:</w:t>
      </w:r>
    </w:p>
    <w:p w14:paraId="2A2678CC" w14:textId="77777777" w:rsidR="00DC4A37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61055B11" w14:textId="77777777" w:rsidR="00DC4A37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I - documento de formalização de demanda e, se for o caso, estudo técnico preliminar, análise de riscos, termo de referência, projeto básico ou projeto executivo;</w:t>
      </w:r>
    </w:p>
    <w:p w14:paraId="6CFE5136" w14:textId="77777777" w:rsidR="001133DD" w:rsidRDefault="001133DD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441233BD" w14:textId="77777777" w:rsidR="00DC4A37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II - estimativa de despesa, que deverá ser calculada na forma estabelecida no art. 23 desta Lei; </w:t>
      </w:r>
    </w:p>
    <w:p w14:paraId="58135A1A" w14:textId="77777777" w:rsidR="001133DD" w:rsidRDefault="001133DD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056E3D17" w14:textId="77777777" w:rsidR="00DC4A37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III - parecer jurídico e pareceres técnicos, se for o caso, que demonstrem o atendimento dos requisitos exigidos;</w:t>
      </w:r>
    </w:p>
    <w:p w14:paraId="034D4DA5" w14:textId="77777777" w:rsidR="001133DD" w:rsidRDefault="001133DD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20B8FC34" w14:textId="77777777" w:rsidR="001133DD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IV - demonstração da compatibilidade da previsão de recursos orçamentários com o compromisso a ser assumido; </w:t>
      </w:r>
    </w:p>
    <w:p w14:paraId="48CEAD2B" w14:textId="77777777" w:rsidR="001133DD" w:rsidRDefault="001133DD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4F7B795A" w14:textId="77777777" w:rsidR="001133DD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V - comprovação de que o contratado preenche os requisitos de habilitação e qualificação mínima necessária;</w:t>
      </w:r>
    </w:p>
    <w:p w14:paraId="33B218F6" w14:textId="77777777" w:rsidR="001133DD" w:rsidRDefault="001133DD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7CE02CEA" w14:textId="44E99164" w:rsidR="00DC4A37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VI - razão da escolha do contratado;</w:t>
      </w:r>
    </w:p>
    <w:p w14:paraId="1F02AE68" w14:textId="77777777" w:rsidR="001133DD" w:rsidRDefault="001133DD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7B8D4505" w14:textId="77777777" w:rsidR="00DC4A37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VII - justificativa de preço;</w:t>
      </w:r>
    </w:p>
    <w:p w14:paraId="54827C77" w14:textId="77777777" w:rsidR="001133DD" w:rsidRDefault="001133DD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7226D8A3" w14:textId="3F27F921" w:rsidR="00DC4A37" w:rsidRPr="00DC4A37" w:rsidRDefault="00DC4A37" w:rsidP="00DC4A37">
      <w:pPr>
        <w:ind w:left="2127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VIII - autorização da autoridade competente. Parágrafo único. O ato que autoriza a contratação direta ou o extrato decorrente do contrato deverá ser divulgado e mantido à disposição do público em sítio eletrônico oficial.</w:t>
      </w:r>
    </w:p>
    <w:p w14:paraId="7D8C6BA1" w14:textId="77777777" w:rsidR="00FA3867" w:rsidRDefault="00FA3867" w:rsidP="00350368">
      <w:pPr>
        <w:jc w:val="both"/>
        <w:rPr>
          <w:rFonts w:ascii="Century Gothic" w:hAnsi="Century Gothic" w:cs="Verdana"/>
          <w:bCs/>
          <w:sz w:val="22"/>
          <w:szCs w:val="22"/>
        </w:rPr>
      </w:pPr>
    </w:p>
    <w:p w14:paraId="0CC2C523" w14:textId="77777777" w:rsidR="00FA3867" w:rsidRDefault="00FA3867" w:rsidP="00E256C6">
      <w:pPr>
        <w:jc w:val="both"/>
        <w:rPr>
          <w:rFonts w:ascii="Century Gothic" w:hAnsi="Century Gothic" w:cs="Verdana"/>
          <w:bCs/>
          <w:sz w:val="22"/>
          <w:szCs w:val="22"/>
        </w:rPr>
      </w:pPr>
    </w:p>
    <w:p w14:paraId="45A0C816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DC4A37">
        <w:rPr>
          <w:rFonts w:ascii="Century Gothic" w:hAnsi="Century Gothic" w:cs="Verdana"/>
          <w:bCs/>
          <w:sz w:val="22"/>
          <w:szCs w:val="22"/>
        </w:rPr>
        <w:t xml:space="preserve">No que tange à minuta do contrato e sua concordância com as imposições do Art. 92 da Lei 14.133/2021, observa-se a obrigatoriedade da abordagem das seguintes cláusulas: </w:t>
      </w:r>
    </w:p>
    <w:p w14:paraId="6AE92782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30C344E3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Art. 92. São necessárias em todo contrato cláusulas que estabeleçam: </w:t>
      </w:r>
    </w:p>
    <w:p w14:paraId="7794E728" w14:textId="77777777" w:rsidR="001133DD" w:rsidRDefault="001133DD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1EB44AB8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I - o objeto e seus elementos característicos;</w:t>
      </w:r>
    </w:p>
    <w:p w14:paraId="5EF78B7D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5ED02926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II - a vinculação ao edital de licitação e à proposta do licitante vencedor ou ao ato que tiver autorizado </w:t>
      </w:r>
      <w:proofErr w:type="gramStart"/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a</w:t>
      </w:r>
      <w:proofErr w:type="gramEnd"/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contratação direta e à respectiva proposta;</w:t>
      </w:r>
    </w:p>
    <w:p w14:paraId="2D666463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6C554C47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III - a legislação aplicável à execução do contrato, inclusive quanto aos casos omissos; </w:t>
      </w:r>
    </w:p>
    <w:p w14:paraId="68D74E3B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2F2D011D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IV - o regime de execução ou a forma de fornecimento; </w:t>
      </w:r>
    </w:p>
    <w:p w14:paraId="252DF415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76972B94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V - o preço e as condições de pagamento, os critérios, a data-base e a periodicidade do reajustamento de preços e os critérios de atualização monetária entre a data do adimplemento das obrigações e a do efetivo pagamento;</w:t>
      </w:r>
    </w:p>
    <w:p w14:paraId="7C587B67" w14:textId="6EF98CB0" w:rsidR="00DC4A37" w:rsidRDefault="00CB0710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</w:t>
      </w:r>
    </w:p>
    <w:p w14:paraId="7A11AF1E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VI - os critérios e a periodicidade da medição, quando for o caso, e o prazo para liquidação e para pagamento; </w:t>
      </w:r>
    </w:p>
    <w:p w14:paraId="7D8401FC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433976BD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VII - os prazos de início das etapas de execução, conclusão, entrega, observação e recebimento definitivo, quando for o caso;</w:t>
      </w:r>
    </w:p>
    <w:p w14:paraId="553A3244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0C4CF90B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VIII - o crédito pelo qual correrá a despesa, com a indicação da classificação funcional programática e da categoria econômica; </w:t>
      </w:r>
    </w:p>
    <w:p w14:paraId="55C6D2FF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624A7F51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IX - a matriz de risco, quando for o caso;</w:t>
      </w:r>
    </w:p>
    <w:p w14:paraId="18A003DB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74D7ECC7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X - o prazo para resposta ao pedido de repactuação de preços, quando for o caso; </w:t>
      </w:r>
    </w:p>
    <w:p w14:paraId="0F7071F5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42E0A2BA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XI - o prazo para resposta ao pedido de restabelecimento do equilíbrio </w:t>
      </w:r>
      <w:proofErr w:type="gramStart"/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econômico -financeiro</w:t>
      </w:r>
      <w:proofErr w:type="gramEnd"/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, quando for o caso; </w:t>
      </w:r>
    </w:p>
    <w:p w14:paraId="3CFACD72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62EE0035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XII - as garantias oferecidas para assegurar sua plena execução, quando exigidas, inclusive as que forem oferecidas pelo contratado no caso de antecipação de valores a título de pagamento;</w:t>
      </w:r>
    </w:p>
    <w:p w14:paraId="6CEE4EBF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4EBE7CEA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XIII - o prazo de garantia mínima do objeto, observados os prazos mínimos estabelecidos nesta Lei e nas normas técnicas aplicáveis, e as condições de manutenção e assistência técnica, quando for o caso; </w:t>
      </w:r>
    </w:p>
    <w:p w14:paraId="10DFDAD8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50AF4DB2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XIV - os direitos e as responsabilidades das partes, as penalidades cabíveis e os valores das multas e suas bases de cálculo; </w:t>
      </w:r>
    </w:p>
    <w:p w14:paraId="11B9488F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56401BC6" w14:textId="7044929B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XV - as condições de importação e a data e a taxa de câmbio para conversão, quando for o caso;</w:t>
      </w:r>
    </w:p>
    <w:p w14:paraId="7AC159AF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777A44B1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XVI - a obrigação do contratado de manter, durante toda a execução do contrato, em compatibilidade com as obrigações por ele assumidas, todas as condições exigidas para a habilitação na licitação, ou para a qualificação, na contratação direta;</w:t>
      </w:r>
    </w:p>
    <w:p w14:paraId="263FB0DA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17B15E2E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XVII - a obrigação de o contratado cumprir as exigências de reserva de cargos prevista em lei, bem como em outras normas específicas, para pessoa com deficiência, para reabilitado da Previdência Social e para aprendiz; </w:t>
      </w:r>
    </w:p>
    <w:p w14:paraId="0934400F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378260BB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>XVIII - o modelo de gestão do contrato, observados os requisitos definidos em regulamento;</w:t>
      </w:r>
    </w:p>
    <w:p w14:paraId="018B92E6" w14:textId="77777777" w:rsid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</w:p>
    <w:p w14:paraId="422C215B" w14:textId="1FC5C7B8" w:rsidR="00DC4A37" w:rsidRPr="00DC4A37" w:rsidRDefault="00DC4A37" w:rsidP="00DC4A37">
      <w:pPr>
        <w:ind w:left="2268"/>
        <w:jc w:val="both"/>
        <w:rPr>
          <w:rFonts w:ascii="Century Gothic" w:hAnsi="Century Gothic" w:cs="Verdana"/>
          <w:bCs/>
          <w:i/>
          <w:iCs/>
          <w:sz w:val="22"/>
          <w:szCs w:val="22"/>
        </w:rPr>
      </w:pPr>
      <w:r w:rsidRPr="00DC4A37">
        <w:rPr>
          <w:rFonts w:ascii="Century Gothic" w:hAnsi="Century Gothic" w:cs="Verdana"/>
          <w:bCs/>
          <w:i/>
          <w:iCs/>
          <w:sz w:val="22"/>
          <w:szCs w:val="22"/>
        </w:rPr>
        <w:t xml:space="preserve"> XIX - os casos de extinção.</w:t>
      </w:r>
      <w:r w:rsidR="00CB0710" w:rsidRPr="00DC4A37">
        <w:rPr>
          <w:rFonts w:ascii="Century Gothic" w:hAnsi="Century Gothic" w:cs="Verdana"/>
          <w:bCs/>
          <w:i/>
          <w:iCs/>
          <w:sz w:val="22"/>
          <w:szCs w:val="22"/>
        </w:rPr>
        <w:tab/>
      </w:r>
    </w:p>
    <w:p w14:paraId="71185D89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18B07AC3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67089A2B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DC4A37">
        <w:rPr>
          <w:rFonts w:ascii="Century Gothic" w:hAnsi="Century Gothic" w:cs="Verdana"/>
          <w:bCs/>
          <w:sz w:val="22"/>
          <w:szCs w:val="22"/>
        </w:rPr>
        <w:t xml:space="preserve">Dessa forma, após análise da fase preparatória e da minuta do contrato vinculado a contratação direta em comento, verifica-se que foram atendidos os requisitos mínimos dos artigos 72 e 92 acima transcritos, bem como a observância das exigências necessárias ao caso concreto e adequadas ao serviço contratado. </w:t>
      </w:r>
    </w:p>
    <w:p w14:paraId="74C0FD82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3178C1EA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DC4A37">
        <w:rPr>
          <w:rFonts w:ascii="Century Gothic" w:hAnsi="Century Gothic" w:cs="Verdana"/>
          <w:bCs/>
          <w:sz w:val="22"/>
          <w:szCs w:val="22"/>
        </w:rPr>
        <w:t xml:space="preserve">No caso concreto, verifica-se da análise realizada por esta assessoria, que foi observado o atendimento dos requisitos mínimos exigidos para o prosseguimento do presente procedimento, encontrando-se o mesmo em conformidade com os parâmetros legais. </w:t>
      </w:r>
    </w:p>
    <w:p w14:paraId="1281A555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28A7DFF7" w14:textId="704972D0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DC4A37">
        <w:rPr>
          <w:rFonts w:ascii="Century Gothic" w:hAnsi="Century Gothic" w:cs="Verdana"/>
          <w:bCs/>
          <w:sz w:val="22"/>
          <w:szCs w:val="22"/>
        </w:rPr>
        <w:t>Desse modo, com a comprovação dos requisitos ensejadores da inexigibilidade prevista no art. 74, inciso III, alínea “c”</w:t>
      </w:r>
      <w:r w:rsidR="001133DD">
        <w:rPr>
          <w:rFonts w:ascii="Century Gothic" w:hAnsi="Century Gothic" w:cs="Verdana"/>
          <w:bCs/>
          <w:sz w:val="22"/>
          <w:szCs w:val="22"/>
        </w:rPr>
        <w:t xml:space="preserve"> e “e”</w:t>
      </w:r>
      <w:r w:rsidRPr="00DC4A37">
        <w:rPr>
          <w:rFonts w:ascii="Century Gothic" w:hAnsi="Century Gothic" w:cs="Verdana"/>
          <w:bCs/>
          <w:sz w:val="22"/>
          <w:szCs w:val="22"/>
        </w:rPr>
        <w:t>, c/c §3º, da Lei 14.133/21, ou seja, a inviabilidade de competição e a notória especialização da empresa contratada, importante se atentar aos documentos que devem instruir o processo, nos termos do artigo 72 acima transcrito, inclusive a publicidade prevista no seu parágrafo único, além da observância pelo gestor público do preconizado no art. 73, quanto a contratação direta indevida, e, ainda, os documentos de habilitação da empresa.</w:t>
      </w:r>
    </w:p>
    <w:p w14:paraId="770A2613" w14:textId="77777777" w:rsidR="0035730F" w:rsidRPr="001C60F3" w:rsidRDefault="0035730F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  <w:u w:val="single"/>
        </w:rPr>
      </w:pPr>
    </w:p>
    <w:p w14:paraId="1609625A" w14:textId="1E508571" w:rsidR="0035730F" w:rsidRPr="001C60F3" w:rsidRDefault="001C60F3" w:rsidP="0035730F">
      <w:pPr>
        <w:pStyle w:val="PargrafodaLista"/>
        <w:numPr>
          <w:ilvl w:val="0"/>
          <w:numId w:val="20"/>
        </w:numPr>
        <w:jc w:val="both"/>
        <w:rPr>
          <w:rFonts w:ascii="Century Gothic" w:hAnsi="Century Gothic" w:cs="Verdana"/>
          <w:b/>
          <w:u w:val="single"/>
        </w:rPr>
      </w:pPr>
      <w:r>
        <w:rPr>
          <w:rFonts w:ascii="Century Gothic" w:hAnsi="Century Gothic" w:cs="Verdana"/>
          <w:b/>
          <w:u w:val="single"/>
        </w:rPr>
        <w:t xml:space="preserve">DA </w:t>
      </w:r>
      <w:r w:rsidR="0035730F" w:rsidRPr="001C60F3">
        <w:rPr>
          <w:rFonts w:ascii="Century Gothic" w:hAnsi="Century Gothic" w:cs="Verdana"/>
          <w:b/>
          <w:u w:val="single"/>
        </w:rPr>
        <w:t>CONCLUSÃO</w:t>
      </w:r>
    </w:p>
    <w:p w14:paraId="372E7336" w14:textId="77777777" w:rsidR="001133DD" w:rsidRDefault="001133DD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78CDF2F3" w14:textId="65E8965C" w:rsidR="001133DD" w:rsidRDefault="001133DD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1133DD">
        <w:rPr>
          <w:rFonts w:ascii="Century Gothic" w:hAnsi="Century Gothic" w:cs="Verdana"/>
          <w:bCs/>
          <w:sz w:val="22"/>
          <w:szCs w:val="22"/>
        </w:rPr>
        <w:t xml:space="preserve">Diante do exposto, nos limites da análise jurídica e excluídos os demais critérios técnicos, de valor e de conveniência e oportunidade administrativa a ensejar a autorização do procedimento, </w:t>
      </w:r>
      <w:proofErr w:type="spellStart"/>
      <w:r w:rsidRPr="001133DD">
        <w:rPr>
          <w:rFonts w:ascii="Century Gothic" w:hAnsi="Century Gothic" w:cs="Verdana"/>
          <w:bCs/>
          <w:sz w:val="22"/>
          <w:szCs w:val="22"/>
        </w:rPr>
        <w:t>concluí-se</w:t>
      </w:r>
      <w:proofErr w:type="spellEnd"/>
      <w:r w:rsidRPr="001133DD">
        <w:rPr>
          <w:rFonts w:ascii="Century Gothic" w:hAnsi="Century Gothic" w:cs="Verdana"/>
          <w:bCs/>
          <w:sz w:val="22"/>
          <w:szCs w:val="22"/>
        </w:rPr>
        <w:t xml:space="preserve"> pela possibilidade da inexigibilidade de licitação prevista no art. 74, inciso III, alínea “c”</w:t>
      </w:r>
      <w:r>
        <w:rPr>
          <w:rFonts w:ascii="Century Gothic" w:hAnsi="Century Gothic" w:cs="Verdana"/>
          <w:bCs/>
          <w:sz w:val="22"/>
          <w:szCs w:val="22"/>
        </w:rPr>
        <w:t xml:space="preserve"> e “e”</w:t>
      </w:r>
      <w:r w:rsidRPr="001133DD">
        <w:rPr>
          <w:rFonts w:ascii="Century Gothic" w:hAnsi="Century Gothic" w:cs="Verdana"/>
          <w:bCs/>
          <w:sz w:val="22"/>
          <w:szCs w:val="22"/>
        </w:rPr>
        <w:t>, da Lei 14.133/21 e pela aprovação da minuta do contrato administrativo, nos termos do art. 92, também da Lei 14.133/21, reforçando que deve ser observada a previsão contida no parágrafo único do art. 72 da Lei 14.133/21.</w:t>
      </w:r>
    </w:p>
    <w:p w14:paraId="06FA6C2E" w14:textId="77777777" w:rsidR="001133DD" w:rsidRDefault="001133DD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49B58BC4" w14:textId="13DB5C3C" w:rsidR="001133DD" w:rsidRDefault="001133DD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 w:rsidRPr="001133DD">
        <w:rPr>
          <w:rFonts w:ascii="Century Gothic" w:hAnsi="Century Gothic" w:cs="Verdana"/>
          <w:bCs/>
          <w:sz w:val="22"/>
          <w:szCs w:val="22"/>
        </w:rPr>
        <w:t>É o parecer, em caráter opinativo e não vinculativo.</w:t>
      </w:r>
    </w:p>
    <w:p w14:paraId="069C3BEC" w14:textId="77777777" w:rsidR="001133DD" w:rsidRDefault="001133DD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28EBE494" w14:textId="065AD1E0" w:rsidR="001133DD" w:rsidRDefault="001133DD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  <w:r>
        <w:rPr>
          <w:rFonts w:ascii="Century Gothic" w:hAnsi="Century Gothic" w:cs="Verdana"/>
          <w:bCs/>
          <w:sz w:val="22"/>
          <w:szCs w:val="22"/>
        </w:rPr>
        <w:t>Piedade de Ponte Nova, 03 de fevereiro de 2025.</w:t>
      </w:r>
    </w:p>
    <w:p w14:paraId="68B8BCF6" w14:textId="77777777" w:rsidR="0035730F" w:rsidRDefault="0035730F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3FD4DB04" w14:textId="77777777" w:rsidR="0035730F" w:rsidRDefault="0035730F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5228046F" w14:textId="77777777" w:rsidR="001133DD" w:rsidRDefault="001133DD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604DAD5F" w14:textId="77777777" w:rsidR="001133DD" w:rsidRDefault="001133DD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06632DE6" w14:textId="43EF61AB" w:rsidR="001133DD" w:rsidRPr="001133DD" w:rsidRDefault="001133DD" w:rsidP="001133DD">
      <w:pPr>
        <w:ind w:firstLine="708"/>
        <w:jc w:val="center"/>
        <w:rPr>
          <w:rFonts w:ascii="Century Gothic" w:hAnsi="Century Gothic" w:cs="Verdana"/>
          <w:b/>
          <w:sz w:val="22"/>
          <w:szCs w:val="22"/>
        </w:rPr>
      </w:pPr>
      <w:r w:rsidRPr="001133DD">
        <w:rPr>
          <w:rFonts w:ascii="Century Gothic" w:hAnsi="Century Gothic" w:cs="Verdana"/>
          <w:b/>
          <w:sz w:val="22"/>
          <w:szCs w:val="22"/>
        </w:rPr>
        <w:t>Iderde Graziane Gomes Corcini</w:t>
      </w:r>
    </w:p>
    <w:p w14:paraId="20A036CC" w14:textId="4E7C40D2" w:rsidR="001133DD" w:rsidRPr="001133DD" w:rsidRDefault="001133DD" w:rsidP="001133DD">
      <w:pPr>
        <w:ind w:firstLine="708"/>
        <w:jc w:val="center"/>
        <w:rPr>
          <w:rFonts w:ascii="Century Gothic" w:hAnsi="Century Gothic" w:cs="Verdana"/>
          <w:b/>
          <w:sz w:val="22"/>
          <w:szCs w:val="22"/>
        </w:rPr>
      </w:pPr>
      <w:r w:rsidRPr="001133DD">
        <w:rPr>
          <w:rFonts w:ascii="Century Gothic" w:hAnsi="Century Gothic" w:cs="Verdana"/>
          <w:b/>
          <w:sz w:val="22"/>
          <w:szCs w:val="22"/>
        </w:rPr>
        <w:t>OAB/MG 160.272</w:t>
      </w:r>
    </w:p>
    <w:p w14:paraId="121B2E2D" w14:textId="77777777" w:rsidR="00DC4A37" w:rsidRPr="001133DD" w:rsidRDefault="00DC4A37" w:rsidP="001133DD">
      <w:pPr>
        <w:ind w:firstLine="708"/>
        <w:jc w:val="center"/>
        <w:rPr>
          <w:rFonts w:ascii="Century Gothic" w:hAnsi="Century Gothic" w:cs="Verdana"/>
          <w:b/>
          <w:sz w:val="22"/>
          <w:szCs w:val="22"/>
        </w:rPr>
      </w:pPr>
    </w:p>
    <w:p w14:paraId="70DAAE07" w14:textId="77777777" w:rsidR="00DC4A37" w:rsidRDefault="00DC4A37" w:rsidP="00DC4A37">
      <w:pPr>
        <w:ind w:firstLine="708"/>
        <w:jc w:val="both"/>
        <w:rPr>
          <w:rFonts w:ascii="Century Gothic" w:hAnsi="Century Gothic" w:cs="Verdana"/>
          <w:bCs/>
          <w:sz w:val="22"/>
          <w:szCs w:val="22"/>
        </w:rPr>
      </w:pPr>
    </w:p>
    <w:p w14:paraId="226B98C9" w14:textId="26DD3079" w:rsidR="00D308AD" w:rsidRPr="00630DAD" w:rsidRDefault="00D308AD" w:rsidP="00251E0C">
      <w:pPr>
        <w:jc w:val="center"/>
        <w:rPr>
          <w:rFonts w:ascii="Century Gothic" w:hAnsi="Century Gothic" w:cs="Verdana"/>
          <w:bCs/>
          <w:sz w:val="22"/>
          <w:szCs w:val="22"/>
        </w:rPr>
      </w:pPr>
    </w:p>
    <w:sectPr w:rsidR="00D308AD" w:rsidRPr="00630DAD" w:rsidSect="00D308AD">
      <w:headerReference w:type="default" r:id="rId9"/>
      <w:footerReference w:type="even" r:id="rId10"/>
      <w:footerReference w:type="default" r:id="rId11"/>
      <w:pgSz w:w="11907" w:h="16839" w:code="9"/>
      <w:pgMar w:top="1418" w:right="1701" w:bottom="851" w:left="1701" w:header="51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6B6B1" w14:textId="77777777" w:rsidR="009C123F" w:rsidRDefault="009C123F">
      <w:r>
        <w:separator/>
      </w:r>
    </w:p>
  </w:endnote>
  <w:endnote w:type="continuationSeparator" w:id="0">
    <w:p w14:paraId="00C5E707" w14:textId="77777777" w:rsidR="009C123F" w:rsidRDefault="009C1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BBF2F" w14:textId="77777777" w:rsidR="008246F5" w:rsidRDefault="008246F5" w:rsidP="002D485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C22824" w14:textId="77777777" w:rsidR="008246F5" w:rsidRDefault="008246F5" w:rsidP="002D485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6D641C" w14:textId="3F161DA6" w:rsidR="001133DD" w:rsidRPr="00D308AD" w:rsidRDefault="001133DD" w:rsidP="001133DD">
    <w:pPr>
      <w:pStyle w:val="Rodap"/>
      <w:jc w:val="right"/>
      <w:rPr>
        <w:rFonts w:ascii="Century Gothic" w:hAnsi="Century Gothic"/>
        <w:sz w:val="14"/>
        <w:szCs w:val="14"/>
      </w:rPr>
    </w:pPr>
  </w:p>
  <w:p w14:paraId="6A484A10" w14:textId="7C9E89EB" w:rsidR="00D308AD" w:rsidRPr="00D308AD" w:rsidRDefault="00D308AD" w:rsidP="00D308AD">
    <w:pPr>
      <w:pStyle w:val="Rodap"/>
      <w:jc w:val="center"/>
      <w:rPr>
        <w:rFonts w:ascii="Century Gothic" w:hAnsi="Century Gothic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A0F18" w14:textId="77777777" w:rsidR="009C123F" w:rsidRDefault="009C123F">
      <w:r>
        <w:separator/>
      </w:r>
    </w:p>
  </w:footnote>
  <w:footnote w:type="continuationSeparator" w:id="0">
    <w:p w14:paraId="34B7EBF7" w14:textId="77777777" w:rsidR="009C123F" w:rsidRDefault="009C1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39860" w14:textId="5F7A42A3" w:rsidR="00C01006" w:rsidRDefault="00C01006">
    <w:pPr>
      <w:pStyle w:val="Cabealho"/>
    </w:pPr>
  </w:p>
  <w:p w14:paraId="2DF64634" w14:textId="77777777" w:rsidR="00C01006" w:rsidRDefault="00C01006" w:rsidP="00C01006">
    <w:pPr>
      <w:tabs>
        <w:tab w:val="center" w:pos="4252"/>
        <w:tab w:val="right" w:pos="8504"/>
      </w:tabs>
      <w:rPr>
        <w:rFonts w:ascii="Bodoni MT" w:hAnsi="Bodoni MT"/>
        <w:b/>
        <w:smallCaps/>
        <w:sz w:val="24"/>
        <w:szCs w:val="24"/>
      </w:rPr>
    </w:pPr>
    <w:r>
      <w:rPr>
        <w:rFonts w:ascii="Bodoni MT" w:hAnsi="Bodoni MT"/>
        <w:b/>
        <w:smallCap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C1033C" wp14:editId="27A5DD4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_x0000_tole_rId2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tole_rId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<o:lock v:ext="edit" aspectratio="t" selection="t"/>
            </v:rect>
          </w:pict>
        </mc:Fallback>
      </mc:AlternateContent>
    </w:r>
    <w:r>
      <w:rPr>
        <w:rFonts w:ascii="Bodoni MT" w:hAnsi="Bodoni MT"/>
        <w:b/>
        <w:smallCaps/>
        <w:sz w:val="24"/>
        <w:szCs w:val="24"/>
      </w:rPr>
      <w:pict w14:anchorId="696A69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2" o:spid="_x0000_s2049" type="#_x0000_t75" style="position:absolute;margin-left:-66pt;margin-top:1.85pt;width:56.35pt;height:63pt;z-index:251661312;visibility:visible;mso-wrap-distance-right:0;mso-position-horizontal-relative:text;mso-position-vertical-relative:text">
          <v:imagedata r:id="rId1" o:title=""/>
          <w10:wrap type="topAndBottom"/>
        </v:shape>
        <o:OLEObject Type="Embed" ProgID="Word.Picture.8" ShapeID="ole_rId2" DrawAspect="Content" ObjectID="_1800961008" r:id="rId2"/>
      </w:pict>
    </w:r>
  </w:p>
  <w:p w14:paraId="5BF015F3" w14:textId="77777777" w:rsidR="00C01006" w:rsidRDefault="00C01006" w:rsidP="00C01006">
    <w:pPr>
      <w:tabs>
        <w:tab w:val="center" w:pos="4252"/>
        <w:tab w:val="right" w:pos="8504"/>
      </w:tabs>
      <w:jc w:val="center"/>
      <w:rPr>
        <w:rFonts w:ascii="Bodoni MT" w:hAnsi="Bodoni MT"/>
        <w:b/>
        <w:smallCaps/>
        <w:sz w:val="24"/>
        <w:szCs w:val="24"/>
      </w:rPr>
    </w:pPr>
    <w:r>
      <w:rPr>
        <w:rFonts w:ascii="Bodoni MT" w:hAnsi="Bodoni MT"/>
        <w:b/>
        <w:smallCaps/>
        <w:sz w:val="24"/>
        <w:szCs w:val="24"/>
      </w:rPr>
      <w:t>Câmara Municipal de Piedade de Ponte Nova</w:t>
    </w:r>
  </w:p>
  <w:p w14:paraId="2486FC0C" w14:textId="77777777" w:rsidR="00C01006" w:rsidRDefault="00C01006" w:rsidP="00C01006">
    <w:pPr>
      <w:tabs>
        <w:tab w:val="center" w:pos="4252"/>
        <w:tab w:val="center" w:pos="4419"/>
        <w:tab w:val="left" w:pos="4712"/>
        <w:tab w:val="right" w:pos="8838"/>
      </w:tabs>
      <w:rPr>
        <w:rFonts w:ascii="Bodoni MT" w:hAnsi="Bodoni MT"/>
        <w:b/>
        <w:smallCaps/>
        <w:sz w:val="24"/>
        <w:szCs w:val="24"/>
      </w:rPr>
    </w:pPr>
    <w:r>
      <w:rPr>
        <w:rFonts w:ascii="Bodoni MT" w:hAnsi="Bodoni MT"/>
        <w:b/>
        <w:smallCaps/>
        <w:sz w:val="24"/>
        <w:szCs w:val="24"/>
      </w:rPr>
      <w:tab/>
    </w:r>
    <w:r>
      <w:rPr>
        <w:noProof/>
      </w:rPr>
      <mc:AlternateContent>
        <mc:Choice Requires="wps">
          <w:drawing>
            <wp:anchor distT="19685" distB="19685" distL="19050" distR="19685" simplePos="0" relativeHeight="251659264" behindDoc="0" locked="0" layoutInCell="1" allowOverlap="1" wp14:anchorId="2125D2E4" wp14:editId="43184B38">
              <wp:simplePos x="0" y="0"/>
              <wp:positionH relativeFrom="column">
                <wp:posOffset>1091565</wp:posOffset>
              </wp:positionH>
              <wp:positionV relativeFrom="paragraph">
                <wp:posOffset>63500</wp:posOffset>
              </wp:positionV>
              <wp:extent cx="3429000" cy="0"/>
              <wp:effectExtent l="19050" t="19685" r="19685" b="19685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429000" cy="0"/>
                      </a:xfrm>
                      <a:prstGeom prst="line">
                        <a:avLst/>
                      </a:prstGeom>
                      <a:ln w="381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" o:spid="_x0000_s1026" style="position:absolute;z-index:251659264;visibility:visible;mso-wrap-style:square;mso-wrap-distance-left:1.5pt;mso-wrap-distance-top:1.55pt;mso-wrap-distance-right:1.55pt;mso-wrap-distance-bottom:1.55pt;mso-position-horizontal:absolute;mso-position-horizontal-relative:text;mso-position-vertical:absolute;mso-position-vertical-relative:text" from="85.95pt,5pt" to="355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" strokeweight="3pt"/>
          </w:pict>
        </mc:Fallback>
      </mc:AlternateContent>
    </w:r>
    <w:r>
      <w:rPr>
        <w:rFonts w:ascii="Bodoni MT" w:hAnsi="Bodoni MT"/>
        <w:b/>
        <w:smallCaps/>
        <w:sz w:val="24"/>
        <w:szCs w:val="24"/>
      </w:rPr>
      <w:tab/>
    </w:r>
    <w:r>
      <w:rPr>
        <w:rFonts w:ascii="Bodoni MT" w:hAnsi="Bodoni MT"/>
        <w:b/>
        <w:smallCaps/>
        <w:sz w:val="24"/>
        <w:szCs w:val="24"/>
      </w:rPr>
      <w:tab/>
    </w:r>
  </w:p>
  <w:p w14:paraId="698019FF" w14:textId="77777777" w:rsidR="00C01006" w:rsidRDefault="00C01006" w:rsidP="00C01006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  <w:sz w:val="24"/>
        <w:szCs w:val="24"/>
      </w:rPr>
    </w:pPr>
    <w:r>
      <w:rPr>
        <w:rFonts w:ascii="Bodoni MT" w:hAnsi="Bodoni MT"/>
        <w:b/>
        <w:smallCaps/>
        <w:sz w:val="24"/>
        <w:szCs w:val="24"/>
      </w:rPr>
      <w:t>CNPJ=00.907.927/0001-00</w:t>
    </w:r>
    <w:proofErr w:type="gramStart"/>
    <w:r>
      <w:rPr>
        <w:rFonts w:ascii="Bodoni MT" w:hAnsi="Bodoni MT"/>
        <w:b/>
        <w:smallCaps/>
        <w:sz w:val="24"/>
        <w:szCs w:val="24"/>
      </w:rPr>
      <w:t xml:space="preserve">    </w:t>
    </w:r>
    <w:proofErr w:type="gramEnd"/>
    <w:r>
      <w:rPr>
        <w:rFonts w:ascii="Bodoni MT" w:hAnsi="Bodoni MT"/>
        <w:b/>
        <w:smallCaps/>
        <w:sz w:val="24"/>
        <w:szCs w:val="24"/>
      </w:rPr>
      <w:t>Telefax=31/3871-5110</w:t>
    </w:r>
  </w:p>
  <w:p w14:paraId="727229F8" w14:textId="77777777" w:rsidR="00C01006" w:rsidRDefault="00C01006" w:rsidP="00C01006">
    <w:pPr>
      <w:tabs>
        <w:tab w:val="center" w:pos="4419"/>
        <w:tab w:val="right" w:pos="8838"/>
      </w:tabs>
      <w:jc w:val="center"/>
      <w:rPr>
        <w:rFonts w:ascii="Bodoni MT" w:hAnsi="Bodoni MT"/>
        <w:b/>
        <w:smallCaps/>
        <w:sz w:val="24"/>
        <w:szCs w:val="24"/>
      </w:rPr>
    </w:pPr>
    <w:r>
      <w:rPr>
        <w:rFonts w:ascii="Bodoni MT" w:hAnsi="Bodoni MT"/>
        <w:b/>
        <w:smallCaps/>
        <w:sz w:val="24"/>
        <w:szCs w:val="24"/>
      </w:rPr>
      <w:t>Rua Professor José Sátiro de Melo, 85 –</w:t>
    </w:r>
    <w:proofErr w:type="gramStart"/>
    <w:r>
      <w:rPr>
        <w:rFonts w:ascii="Bodoni MT" w:hAnsi="Bodoni MT"/>
        <w:b/>
        <w:smallCaps/>
        <w:sz w:val="24"/>
        <w:szCs w:val="24"/>
      </w:rPr>
      <w:t xml:space="preserve">  </w:t>
    </w:r>
    <w:proofErr w:type="gramEnd"/>
    <w:r>
      <w:rPr>
        <w:rFonts w:ascii="Bodoni MT" w:hAnsi="Bodoni MT"/>
        <w:b/>
        <w:smallCaps/>
        <w:sz w:val="24"/>
        <w:szCs w:val="24"/>
      </w:rPr>
      <w:t>Centro – CEP: 35.382-000</w:t>
    </w:r>
  </w:p>
  <w:p w14:paraId="5AB1F619" w14:textId="36A05BA3" w:rsidR="008246F5" w:rsidRPr="00D308AD" w:rsidRDefault="008246F5" w:rsidP="00D92443">
    <w:pPr>
      <w:pStyle w:val="Cabealho"/>
      <w:spacing w:after="360"/>
      <w:rPr>
        <w:rFonts w:ascii="Century Gothic" w:hAnsi="Century Gothic"/>
        <w:smallCap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2957"/>
    <w:multiLevelType w:val="hybridMultilevel"/>
    <w:tmpl w:val="0C3240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F7101"/>
    <w:multiLevelType w:val="multilevel"/>
    <w:tmpl w:val="1EA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70D9A"/>
    <w:multiLevelType w:val="multilevel"/>
    <w:tmpl w:val="35F8C5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3">
    <w:nsid w:val="18F511CE"/>
    <w:multiLevelType w:val="multilevel"/>
    <w:tmpl w:val="6528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94755F"/>
    <w:multiLevelType w:val="multilevel"/>
    <w:tmpl w:val="35F8C5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>
    <w:nsid w:val="1DC30158"/>
    <w:multiLevelType w:val="hybridMultilevel"/>
    <w:tmpl w:val="982A2C96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F4C52D4"/>
    <w:multiLevelType w:val="hybridMultilevel"/>
    <w:tmpl w:val="9D44EA06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E8508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1856C2"/>
    <w:multiLevelType w:val="hybridMultilevel"/>
    <w:tmpl w:val="700E2AF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93A8D"/>
    <w:multiLevelType w:val="multilevel"/>
    <w:tmpl w:val="09E4E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177E4C"/>
    <w:multiLevelType w:val="multilevel"/>
    <w:tmpl w:val="ECA4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500BAF"/>
    <w:multiLevelType w:val="hybridMultilevel"/>
    <w:tmpl w:val="CADA8436"/>
    <w:lvl w:ilvl="0" w:tplc="9812733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2A7393"/>
    <w:multiLevelType w:val="multilevel"/>
    <w:tmpl w:val="482E80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90D43AC"/>
    <w:multiLevelType w:val="hybridMultilevel"/>
    <w:tmpl w:val="E17854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86D7A"/>
    <w:multiLevelType w:val="hybridMultilevel"/>
    <w:tmpl w:val="D27C8A6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2007F48"/>
    <w:multiLevelType w:val="hybridMultilevel"/>
    <w:tmpl w:val="5A90A6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B03969"/>
    <w:multiLevelType w:val="multilevel"/>
    <w:tmpl w:val="5A18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94306D"/>
    <w:multiLevelType w:val="hybridMultilevel"/>
    <w:tmpl w:val="22DA76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6269B5"/>
    <w:multiLevelType w:val="hybridMultilevel"/>
    <w:tmpl w:val="A9803C5E"/>
    <w:lvl w:ilvl="0" w:tplc="0416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7E05352"/>
    <w:multiLevelType w:val="multilevel"/>
    <w:tmpl w:val="35F8C55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0">
    <w:nsid w:val="778C0930"/>
    <w:multiLevelType w:val="hybridMultilevel"/>
    <w:tmpl w:val="3F565A0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BB05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5E317A"/>
    <w:multiLevelType w:val="hybridMultilevel"/>
    <w:tmpl w:val="9334B3A4"/>
    <w:lvl w:ilvl="0" w:tplc="0416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F080E"/>
    <w:multiLevelType w:val="hybridMultilevel"/>
    <w:tmpl w:val="77DC993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6"/>
  </w:num>
  <w:num w:numId="4">
    <w:abstractNumId w:val="5"/>
  </w:num>
  <w:num w:numId="5">
    <w:abstractNumId w:val="17"/>
  </w:num>
  <w:num w:numId="6">
    <w:abstractNumId w:val="18"/>
  </w:num>
  <w:num w:numId="7">
    <w:abstractNumId w:val="9"/>
  </w:num>
  <w:num w:numId="8">
    <w:abstractNumId w:val="3"/>
  </w:num>
  <w:num w:numId="9">
    <w:abstractNumId w:val="1"/>
  </w:num>
  <w:num w:numId="10">
    <w:abstractNumId w:val="16"/>
  </w:num>
  <w:num w:numId="11">
    <w:abstractNumId w:val="10"/>
  </w:num>
  <w:num w:numId="12">
    <w:abstractNumId w:val="0"/>
  </w:num>
  <w:num w:numId="13">
    <w:abstractNumId w:val="15"/>
  </w:num>
  <w:num w:numId="14">
    <w:abstractNumId w:val="13"/>
  </w:num>
  <w:num w:numId="15">
    <w:abstractNumId w:val="7"/>
  </w:num>
  <w:num w:numId="16">
    <w:abstractNumId w:val="21"/>
  </w:num>
  <w:num w:numId="17">
    <w:abstractNumId w:val="23"/>
  </w:num>
  <w:num w:numId="18">
    <w:abstractNumId w:val="20"/>
  </w:num>
  <w:num w:numId="19">
    <w:abstractNumId w:val="11"/>
  </w:num>
  <w:num w:numId="20">
    <w:abstractNumId w:val="2"/>
  </w:num>
  <w:num w:numId="21">
    <w:abstractNumId w:val="14"/>
  </w:num>
  <w:num w:numId="22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57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9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05"/>
    <w:rsid w:val="0000037B"/>
    <w:rsid w:val="000009B2"/>
    <w:rsid w:val="00002082"/>
    <w:rsid w:val="00007DCF"/>
    <w:rsid w:val="000128BA"/>
    <w:rsid w:val="0002357F"/>
    <w:rsid w:val="00037416"/>
    <w:rsid w:val="00042CB7"/>
    <w:rsid w:val="00044171"/>
    <w:rsid w:val="00051BEF"/>
    <w:rsid w:val="00054B4C"/>
    <w:rsid w:val="00056267"/>
    <w:rsid w:val="00060084"/>
    <w:rsid w:val="000627C7"/>
    <w:rsid w:val="00070343"/>
    <w:rsid w:val="00073C2E"/>
    <w:rsid w:val="00084D8A"/>
    <w:rsid w:val="000867D5"/>
    <w:rsid w:val="000A30CB"/>
    <w:rsid w:val="000A3EDC"/>
    <w:rsid w:val="000B7329"/>
    <w:rsid w:val="000C0315"/>
    <w:rsid w:val="000C63C4"/>
    <w:rsid w:val="000D10E1"/>
    <w:rsid w:val="000D1FEE"/>
    <w:rsid w:val="000D6054"/>
    <w:rsid w:val="000D6A53"/>
    <w:rsid w:val="000E15B2"/>
    <w:rsid w:val="000E1754"/>
    <w:rsid w:val="000E6302"/>
    <w:rsid w:val="000F573F"/>
    <w:rsid w:val="00104990"/>
    <w:rsid w:val="001133DD"/>
    <w:rsid w:val="00113972"/>
    <w:rsid w:val="00123DDE"/>
    <w:rsid w:val="00125514"/>
    <w:rsid w:val="00126475"/>
    <w:rsid w:val="00132D4C"/>
    <w:rsid w:val="00133A2B"/>
    <w:rsid w:val="00135CD4"/>
    <w:rsid w:val="00135EDF"/>
    <w:rsid w:val="0014236A"/>
    <w:rsid w:val="00143D42"/>
    <w:rsid w:val="00155CB0"/>
    <w:rsid w:val="00164C32"/>
    <w:rsid w:val="00173C6D"/>
    <w:rsid w:val="00175751"/>
    <w:rsid w:val="00184424"/>
    <w:rsid w:val="0018549C"/>
    <w:rsid w:val="001A080D"/>
    <w:rsid w:val="001A0BCB"/>
    <w:rsid w:val="001A7BBC"/>
    <w:rsid w:val="001B3409"/>
    <w:rsid w:val="001B5D3B"/>
    <w:rsid w:val="001B743B"/>
    <w:rsid w:val="001B7D9E"/>
    <w:rsid w:val="001C60F3"/>
    <w:rsid w:val="001C62D0"/>
    <w:rsid w:val="001C7192"/>
    <w:rsid w:val="001D6BE2"/>
    <w:rsid w:val="001F6ED8"/>
    <w:rsid w:val="001F7204"/>
    <w:rsid w:val="00205653"/>
    <w:rsid w:val="00213769"/>
    <w:rsid w:val="0021382E"/>
    <w:rsid w:val="002138E9"/>
    <w:rsid w:val="0021476D"/>
    <w:rsid w:val="00214A8E"/>
    <w:rsid w:val="0022603F"/>
    <w:rsid w:val="002316D0"/>
    <w:rsid w:val="00234536"/>
    <w:rsid w:val="00234BFD"/>
    <w:rsid w:val="00235DDF"/>
    <w:rsid w:val="00236F3F"/>
    <w:rsid w:val="0023732D"/>
    <w:rsid w:val="0024433B"/>
    <w:rsid w:val="00251E0C"/>
    <w:rsid w:val="00252C70"/>
    <w:rsid w:val="00254BB9"/>
    <w:rsid w:val="0026472D"/>
    <w:rsid w:val="002664A4"/>
    <w:rsid w:val="00266B61"/>
    <w:rsid w:val="0027117E"/>
    <w:rsid w:val="00273DE0"/>
    <w:rsid w:val="0027483B"/>
    <w:rsid w:val="0027597F"/>
    <w:rsid w:val="00276B33"/>
    <w:rsid w:val="00283373"/>
    <w:rsid w:val="0029016A"/>
    <w:rsid w:val="002933C6"/>
    <w:rsid w:val="002A6F64"/>
    <w:rsid w:val="002B1039"/>
    <w:rsid w:val="002B29C4"/>
    <w:rsid w:val="002B2BF9"/>
    <w:rsid w:val="002B3077"/>
    <w:rsid w:val="002B374A"/>
    <w:rsid w:val="002B4DDC"/>
    <w:rsid w:val="002B70FF"/>
    <w:rsid w:val="002C1C98"/>
    <w:rsid w:val="002C3471"/>
    <w:rsid w:val="002C578A"/>
    <w:rsid w:val="002D3CEE"/>
    <w:rsid w:val="002D4859"/>
    <w:rsid w:val="002E2D24"/>
    <w:rsid w:val="002E5AA7"/>
    <w:rsid w:val="002F0271"/>
    <w:rsid w:val="002F2608"/>
    <w:rsid w:val="0030456C"/>
    <w:rsid w:val="00307D59"/>
    <w:rsid w:val="003106A1"/>
    <w:rsid w:val="00314F04"/>
    <w:rsid w:val="003155B4"/>
    <w:rsid w:val="003229E0"/>
    <w:rsid w:val="0032481C"/>
    <w:rsid w:val="0032546F"/>
    <w:rsid w:val="00333878"/>
    <w:rsid w:val="00335763"/>
    <w:rsid w:val="00336BFE"/>
    <w:rsid w:val="00340E6C"/>
    <w:rsid w:val="00346C2B"/>
    <w:rsid w:val="003477C4"/>
    <w:rsid w:val="00350368"/>
    <w:rsid w:val="00351D82"/>
    <w:rsid w:val="003527D0"/>
    <w:rsid w:val="00354336"/>
    <w:rsid w:val="00355832"/>
    <w:rsid w:val="00355939"/>
    <w:rsid w:val="0035605D"/>
    <w:rsid w:val="0035697A"/>
    <w:rsid w:val="0035730F"/>
    <w:rsid w:val="00360A95"/>
    <w:rsid w:val="00360CCB"/>
    <w:rsid w:val="003630FC"/>
    <w:rsid w:val="00374853"/>
    <w:rsid w:val="0038169F"/>
    <w:rsid w:val="00381943"/>
    <w:rsid w:val="003837B9"/>
    <w:rsid w:val="00393442"/>
    <w:rsid w:val="00396162"/>
    <w:rsid w:val="003A1B57"/>
    <w:rsid w:val="003A4765"/>
    <w:rsid w:val="003A720B"/>
    <w:rsid w:val="003A7BD6"/>
    <w:rsid w:val="003B4CE1"/>
    <w:rsid w:val="003C55EF"/>
    <w:rsid w:val="003D00C3"/>
    <w:rsid w:val="003D0C7B"/>
    <w:rsid w:val="003D1C5F"/>
    <w:rsid w:val="003D4094"/>
    <w:rsid w:val="003D5A4A"/>
    <w:rsid w:val="003D76F8"/>
    <w:rsid w:val="003E30E1"/>
    <w:rsid w:val="003E439F"/>
    <w:rsid w:val="003E5A22"/>
    <w:rsid w:val="003F193B"/>
    <w:rsid w:val="00404DEA"/>
    <w:rsid w:val="0040589D"/>
    <w:rsid w:val="004162A7"/>
    <w:rsid w:val="00416A52"/>
    <w:rsid w:val="00420C96"/>
    <w:rsid w:val="004212B3"/>
    <w:rsid w:val="00423409"/>
    <w:rsid w:val="00424BAC"/>
    <w:rsid w:val="00431061"/>
    <w:rsid w:val="00432376"/>
    <w:rsid w:val="004367CC"/>
    <w:rsid w:val="00441107"/>
    <w:rsid w:val="004442DA"/>
    <w:rsid w:val="00445664"/>
    <w:rsid w:val="00447370"/>
    <w:rsid w:val="00452613"/>
    <w:rsid w:val="00453B02"/>
    <w:rsid w:val="004545A1"/>
    <w:rsid w:val="004705B6"/>
    <w:rsid w:val="004718E3"/>
    <w:rsid w:val="004840B3"/>
    <w:rsid w:val="00490C1F"/>
    <w:rsid w:val="00492960"/>
    <w:rsid w:val="004954E7"/>
    <w:rsid w:val="00496970"/>
    <w:rsid w:val="004A7B41"/>
    <w:rsid w:val="004B1796"/>
    <w:rsid w:val="004B6C33"/>
    <w:rsid w:val="004C0D8D"/>
    <w:rsid w:val="004C10F8"/>
    <w:rsid w:val="004C180C"/>
    <w:rsid w:val="004C2ABB"/>
    <w:rsid w:val="004C3260"/>
    <w:rsid w:val="004C6F21"/>
    <w:rsid w:val="004C79C3"/>
    <w:rsid w:val="004E1423"/>
    <w:rsid w:val="004E7109"/>
    <w:rsid w:val="004F03D1"/>
    <w:rsid w:val="004F51EE"/>
    <w:rsid w:val="00500E1B"/>
    <w:rsid w:val="005026FB"/>
    <w:rsid w:val="00502B21"/>
    <w:rsid w:val="00516499"/>
    <w:rsid w:val="005243E9"/>
    <w:rsid w:val="005307DB"/>
    <w:rsid w:val="005322A1"/>
    <w:rsid w:val="00533DBC"/>
    <w:rsid w:val="0053494F"/>
    <w:rsid w:val="00544F0F"/>
    <w:rsid w:val="005615CF"/>
    <w:rsid w:val="00566A60"/>
    <w:rsid w:val="00570005"/>
    <w:rsid w:val="00571EF4"/>
    <w:rsid w:val="00585D3D"/>
    <w:rsid w:val="00590495"/>
    <w:rsid w:val="0059241B"/>
    <w:rsid w:val="00594F9F"/>
    <w:rsid w:val="005A0A3E"/>
    <w:rsid w:val="005A0DA5"/>
    <w:rsid w:val="005A23A2"/>
    <w:rsid w:val="005A7D83"/>
    <w:rsid w:val="005B0265"/>
    <w:rsid w:val="005D1791"/>
    <w:rsid w:val="005D5383"/>
    <w:rsid w:val="005E34DE"/>
    <w:rsid w:val="005E3B12"/>
    <w:rsid w:val="005E76CD"/>
    <w:rsid w:val="005E7E71"/>
    <w:rsid w:val="005F0CF9"/>
    <w:rsid w:val="005F3A29"/>
    <w:rsid w:val="005F4528"/>
    <w:rsid w:val="00610079"/>
    <w:rsid w:val="0061325F"/>
    <w:rsid w:val="00613C53"/>
    <w:rsid w:val="00620F2E"/>
    <w:rsid w:val="0062162C"/>
    <w:rsid w:val="00622D53"/>
    <w:rsid w:val="00625AA8"/>
    <w:rsid w:val="00630DAD"/>
    <w:rsid w:val="006331BC"/>
    <w:rsid w:val="00635C23"/>
    <w:rsid w:val="0063751C"/>
    <w:rsid w:val="00641613"/>
    <w:rsid w:val="0064161D"/>
    <w:rsid w:val="00641DE9"/>
    <w:rsid w:val="00643872"/>
    <w:rsid w:val="006515AB"/>
    <w:rsid w:val="00672A8E"/>
    <w:rsid w:val="0067637D"/>
    <w:rsid w:val="006804E6"/>
    <w:rsid w:val="00681329"/>
    <w:rsid w:val="00685504"/>
    <w:rsid w:val="00690041"/>
    <w:rsid w:val="00692B92"/>
    <w:rsid w:val="006938BA"/>
    <w:rsid w:val="006A502E"/>
    <w:rsid w:val="006B5613"/>
    <w:rsid w:val="006C3887"/>
    <w:rsid w:val="006C535B"/>
    <w:rsid w:val="006C650F"/>
    <w:rsid w:val="006C71E8"/>
    <w:rsid w:val="006C7B64"/>
    <w:rsid w:val="006E0623"/>
    <w:rsid w:val="006E265E"/>
    <w:rsid w:val="006F2FF2"/>
    <w:rsid w:val="006F4435"/>
    <w:rsid w:val="006F59A1"/>
    <w:rsid w:val="00705935"/>
    <w:rsid w:val="00710A52"/>
    <w:rsid w:val="00712493"/>
    <w:rsid w:val="007237B8"/>
    <w:rsid w:val="00731068"/>
    <w:rsid w:val="007372C2"/>
    <w:rsid w:val="007419F5"/>
    <w:rsid w:val="00742573"/>
    <w:rsid w:val="007429AD"/>
    <w:rsid w:val="00743540"/>
    <w:rsid w:val="00745B3C"/>
    <w:rsid w:val="00746BF6"/>
    <w:rsid w:val="007525DF"/>
    <w:rsid w:val="00763422"/>
    <w:rsid w:val="007665D7"/>
    <w:rsid w:val="00766A00"/>
    <w:rsid w:val="00770D82"/>
    <w:rsid w:val="00773575"/>
    <w:rsid w:val="00781409"/>
    <w:rsid w:val="007928D7"/>
    <w:rsid w:val="00795735"/>
    <w:rsid w:val="00795B53"/>
    <w:rsid w:val="007A501E"/>
    <w:rsid w:val="007C1206"/>
    <w:rsid w:val="007C3190"/>
    <w:rsid w:val="007D0657"/>
    <w:rsid w:val="007D192D"/>
    <w:rsid w:val="007D2D70"/>
    <w:rsid w:val="007E0DD6"/>
    <w:rsid w:val="007E3743"/>
    <w:rsid w:val="007F2F6F"/>
    <w:rsid w:val="007F72A3"/>
    <w:rsid w:val="00802650"/>
    <w:rsid w:val="00812574"/>
    <w:rsid w:val="00813533"/>
    <w:rsid w:val="008165C4"/>
    <w:rsid w:val="008239F5"/>
    <w:rsid w:val="008246F5"/>
    <w:rsid w:val="008265B6"/>
    <w:rsid w:val="0082719B"/>
    <w:rsid w:val="00830D6E"/>
    <w:rsid w:val="00831B72"/>
    <w:rsid w:val="00836780"/>
    <w:rsid w:val="0084151F"/>
    <w:rsid w:val="008429CE"/>
    <w:rsid w:val="00843D2A"/>
    <w:rsid w:val="008573D3"/>
    <w:rsid w:val="00862938"/>
    <w:rsid w:val="00883645"/>
    <w:rsid w:val="0089009A"/>
    <w:rsid w:val="008953BB"/>
    <w:rsid w:val="008961DE"/>
    <w:rsid w:val="008A28DC"/>
    <w:rsid w:val="008A765F"/>
    <w:rsid w:val="008B0B36"/>
    <w:rsid w:val="008D0BFA"/>
    <w:rsid w:val="008D0E3C"/>
    <w:rsid w:val="008D216D"/>
    <w:rsid w:val="008D54AB"/>
    <w:rsid w:val="008D6417"/>
    <w:rsid w:val="008E28E5"/>
    <w:rsid w:val="008E7490"/>
    <w:rsid w:val="008F14A3"/>
    <w:rsid w:val="008F356C"/>
    <w:rsid w:val="00902972"/>
    <w:rsid w:val="00906BD0"/>
    <w:rsid w:val="009075D2"/>
    <w:rsid w:val="009120CC"/>
    <w:rsid w:val="00914515"/>
    <w:rsid w:val="00916527"/>
    <w:rsid w:val="00930EF2"/>
    <w:rsid w:val="009449EA"/>
    <w:rsid w:val="00950914"/>
    <w:rsid w:val="0095192C"/>
    <w:rsid w:val="00952173"/>
    <w:rsid w:val="009524A9"/>
    <w:rsid w:val="00957345"/>
    <w:rsid w:val="009617DB"/>
    <w:rsid w:val="00966746"/>
    <w:rsid w:val="00967CC8"/>
    <w:rsid w:val="0097195C"/>
    <w:rsid w:val="0097393A"/>
    <w:rsid w:val="00977183"/>
    <w:rsid w:val="009873EF"/>
    <w:rsid w:val="0099326B"/>
    <w:rsid w:val="009A0196"/>
    <w:rsid w:val="009A2FA8"/>
    <w:rsid w:val="009A40F0"/>
    <w:rsid w:val="009A7F6F"/>
    <w:rsid w:val="009C123F"/>
    <w:rsid w:val="009C5315"/>
    <w:rsid w:val="009C7FB0"/>
    <w:rsid w:val="009D0F41"/>
    <w:rsid w:val="009F43B2"/>
    <w:rsid w:val="009F78B8"/>
    <w:rsid w:val="00A07143"/>
    <w:rsid w:val="00A15CE0"/>
    <w:rsid w:val="00A167DC"/>
    <w:rsid w:val="00A24C83"/>
    <w:rsid w:val="00A25728"/>
    <w:rsid w:val="00A31564"/>
    <w:rsid w:val="00A3270B"/>
    <w:rsid w:val="00A33BC4"/>
    <w:rsid w:val="00A347D2"/>
    <w:rsid w:val="00A413D6"/>
    <w:rsid w:val="00A47564"/>
    <w:rsid w:val="00A47DA6"/>
    <w:rsid w:val="00A50CFD"/>
    <w:rsid w:val="00A61267"/>
    <w:rsid w:val="00A63540"/>
    <w:rsid w:val="00A77F7E"/>
    <w:rsid w:val="00A84873"/>
    <w:rsid w:val="00A869B8"/>
    <w:rsid w:val="00A86FB7"/>
    <w:rsid w:val="00A86FFE"/>
    <w:rsid w:val="00A90D6C"/>
    <w:rsid w:val="00A955EF"/>
    <w:rsid w:val="00A9774C"/>
    <w:rsid w:val="00AA09D1"/>
    <w:rsid w:val="00AA257D"/>
    <w:rsid w:val="00AA2F41"/>
    <w:rsid w:val="00AA4E15"/>
    <w:rsid w:val="00AA52AE"/>
    <w:rsid w:val="00AA6C35"/>
    <w:rsid w:val="00AB3676"/>
    <w:rsid w:val="00AB5472"/>
    <w:rsid w:val="00AC5883"/>
    <w:rsid w:val="00AD559F"/>
    <w:rsid w:val="00AE5226"/>
    <w:rsid w:val="00AE6B90"/>
    <w:rsid w:val="00AE6F5F"/>
    <w:rsid w:val="00AE74B0"/>
    <w:rsid w:val="00AF72BC"/>
    <w:rsid w:val="00B01048"/>
    <w:rsid w:val="00B16E75"/>
    <w:rsid w:val="00B178D0"/>
    <w:rsid w:val="00B20763"/>
    <w:rsid w:val="00B33FE8"/>
    <w:rsid w:val="00B3533B"/>
    <w:rsid w:val="00B36E75"/>
    <w:rsid w:val="00B40778"/>
    <w:rsid w:val="00B52D01"/>
    <w:rsid w:val="00B5360A"/>
    <w:rsid w:val="00B659FE"/>
    <w:rsid w:val="00B73CCB"/>
    <w:rsid w:val="00B94192"/>
    <w:rsid w:val="00B962A0"/>
    <w:rsid w:val="00B979BD"/>
    <w:rsid w:val="00BA337A"/>
    <w:rsid w:val="00BB3255"/>
    <w:rsid w:val="00BC064C"/>
    <w:rsid w:val="00BC097D"/>
    <w:rsid w:val="00BC6B0E"/>
    <w:rsid w:val="00BD0B55"/>
    <w:rsid w:val="00BD0BE2"/>
    <w:rsid w:val="00BD5BF4"/>
    <w:rsid w:val="00BE1A79"/>
    <w:rsid w:val="00BF0717"/>
    <w:rsid w:val="00BF3766"/>
    <w:rsid w:val="00C01006"/>
    <w:rsid w:val="00C01681"/>
    <w:rsid w:val="00C03870"/>
    <w:rsid w:val="00C20E65"/>
    <w:rsid w:val="00C233CB"/>
    <w:rsid w:val="00C31087"/>
    <w:rsid w:val="00C345FB"/>
    <w:rsid w:val="00C42B73"/>
    <w:rsid w:val="00C47C21"/>
    <w:rsid w:val="00C50580"/>
    <w:rsid w:val="00C5406C"/>
    <w:rsid w:val="00C54476"/>
    <w:rsid w:val="00C571B9"/>
    <w:rsid w:val="00C57B2B"/>
    <w:rsid w:val="00C60E98"/>
    <w:rsid w:val="00C610CC"/>
    <w:rsid w:val="00C62457"/>
    <w:rsid w:val="00C62A87"/>
    <w:rsid w:val="00C64992"/>
    <w:rsid w:val="00C72DE1"/>
    <w:rsid w:val="00C81CE3"/>
    <w:rsid w:val="00C95A5B"/>
    <w:rsid w:val="00CA2290"/>
    <w:rsid w:val="00CA428C"/>
    <w:rsid w:val="00CB0710"/>
    <w:rsid w:val="00CC29A4"/>
    <w:rsid w:val="00CC499B"/>
    <w:rsid w:val="00CC5CF1"/>
    <w:rsid w:val="00CC73EC"/>
    <w:rsid w:val="00CD00DA"/>
    <w:rsid w:val="00CD25F7"/>
    <w:rsid w:val="00CD3656"/>
    <w:rsid w:val="00CD5AD7"/>
    <w:rsid w:val="00CD7258"/>
    <w:rsid w:val="00CE4CA5"/>
    <w:rsid w:val="00CE5B0D"/>
    <w:rsid w:val="00CE5E0A"/>
    <w:rsid w:val="00D028CE"/>
    <w:rsid w:val="00D029B1"/>
    <w:rsid w:val="00D04DDA"/>
    <w:rsid w:val="00D11B65"/>
    <w:rsid w:val="00D162AA"/>
    <w:rsid w:val="00D2178E"/>
    <w:rsid w:val="00D22DF3"/>
    <w:rsid w:val="00D2314E"/>
    <w:rsid w:val="00D23E60"/>
    <w:rsid w:val="00D26B8B"/>
    <w:rsid w:val="00D308AD"/>
    <w:rsid w:val="00D3467D"/>
    <w:rsid w:val="00D37757"/>
    <w:rsid w:val="00D507B5"/>
    <w:rsid w:val="00D50928"/>
    <w:rsid w:val="00D50F09"/>
    <w:rsid w:val="00D53E28"/>
    <w:rsid w:val="00D60DE9"/>
    <w:rsid w:val="00D6257D"/>
    <w:rsid w:val="00D662ED"/>
    <w:rsid w:val="00D72284"/>
    <w:rsid w:val="00D909BC"/>
    <w:rsid w:val="00D92443"/>
    <w:rsid w:val="00D96E5F"/>
    <w:rsid w:val="00DA2AA4"/>
    <w:rsid w:val="00DA5189"/>
    <w:rsid w:val="00DB190E"/>
    <w:rsid w:val="00DB1A2F"/>
    <w:rsid w:val="00DB5CF9"/>
    <w:rsid w:val="00DB5E05"/>
    <w:rsid w:val="00DC35AD"/>
    <w:rsid w:val="00DC4A37"/>
    <w:rsid w:val="00DE07F9"/>
    <w:rsid w:val="00DE19D3"/>
    <w:rsid w:val="00DE4396"/>
    <w:rsid w:val="00DE4E88"/>
    <w:rsid w:val="00E0207D"/>
    <w:rsid w:val="00E12795"/>
    <w:rsid w:val="00E13016"/>
    <w:rsid w:val="00E14D91"/>
    <w:rsid w:val="00E1644A"/>
    <w:rsid w:val="00E243AF"/>
    <w:rsid w:val="00E256C6"/>
    <w:rsid w:val="00E26810"/>
    <w:rsid w:val="00E335A5"/>
    <w:rsid w:val="00E35EFA"/>
    <w:rsid w:val="00E4048A"/>
    <w:rsid w:val="00E41543"/>
    <w:rsid w:val="00E471BE"/>
    <w:rsid w:val="00E55679"/>
    <w:rsid w:val="00E61A2D"/>
    <w:rsid w:val="00E638D6"/>
    <w:rsid w:val="00E6670D"/>
    <w:rsid w:val="00E67C10"/>
    <w:rsid w:val="00E71CE7"/>
    <w:rsid w:val="00E80BD9"/>
    <w:rsid w:val="00E8177E"/>
    <w:rsid w:val="00E819A8"/>
    <w:rsid w:val="00E867B6"/>
    <w:rsid w:val="00E90EF2"/>
    <w:rsid w:val="00EB43C8"/>
    <w:rsid w:val="00EB5259"/>
    <w:rsid w:val="00EC73F5"/>
    <w:rsid w:val="00ED3401"/>
    <w:rsid w:val="00ED689E"/>
    <w:rsid w:val="00EF3594"/>
    <w:rsid w:val="00F03B42"/>
    <w:rsid w:val="00F05BB4"/>
    <w:rsid w:val="00F05E97"/>
    <w:rsid w:val="00F064FD"/>
    <w:rsid w:val="00F13967"/>
    <w:rsid w:val="00F21C3C"/>
    <w:rsid w:val="00F231BB"/>
    <w:rsid w:val="00F320FA"/>
    <w:rsid w:val="00F347CE"/>
    <w:rsid w:val="00F36442"/>
    <w:rsid w:val="00F428E9"/>
    <w:rsid w:val="00F4549A"/>
    <w:rsid w:val="00F46515"/>
    <w:rsid w:val="00F50FAC"/>
    <w:rsid w:val="00F520F4"/>
    <w:rsid w:val="00F755BA"/>
    <w:rsid w:val="00F82FDF"/>
    <w:rsid w:val="00F84CE0"/>
    <w:rsid w:val="00F930E5"/>
    <w:rsid w:val="00F949F7"/>
    <w:rsid w:val="00F94CD3"/>
    <w:rsid w:val="00F97910"/>
    <w:rsid w:val="00FA3867"/>
    <w:rsid w:val="00FB1DAE"/>
    <w:rsid w:val="00FB1FD8"/>
    <w:rsid w:val="00FB3E2F"/>
    <w:rsid w:val="00FB633C"/>
    <w:rsid w:val="00FC1918"/>
    <w:rsid w:val="00FC4FDC"/>
    <w:rsid w:val="00FC5DE4"/>
    <w:rsid w:val="00FD417F"/>
    <w:rsid w:val="00FE3EE0"/>
    <w:rsid w:val="00FE687C"/>
    <w:rsid w:val="00FF34F1"/>
    <w:rsid w:val="00FF51C5"/>
    <w:rsid w:val="00FF6D3B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2809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A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5E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DB5E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B5E0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DB5E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B5E05"/>
  </w:style>
  <w:style w:type="paragraph" w:styleId="SemEspaamento">
    <w:name w:val="No Spacing"/>
    <w:link w:val="SemEspaamentoChar"/>
    <w:uiPriority w:val="1"/>
    <w:qFormat/>
    <w:rsid w:val="00DB5E05"/>
    <w:rPr>
      <w:sz w:val="22"/>
      <w:szCs w:val="22"/>
      <w:lang w:eastAsia="en-US"/>
    </w:rPr>
  </w:style>
  <w:style w:type="character" w:styleId="Hyperlink">
    <w:name w:val="Hyperlink"/>
    <w:rsid w:val="00DB5E0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42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29AD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5E7E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7E71"/>
  </w:style>
  <w:style w:type="character" w:customStyle="1" w:styleId="TextodecomentrioChar">
    <w:name w:val="Texto de comentário Char"/>
    <w:link w:val="Textodecomentrio"/>
    <w:uiPriority w:val="99"/>
    <w:semiHidden/>
    <w:rsid w:val="005E7E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7E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E7E71"/>
    <w:rPr>
      <w:rFonts w:ascii="Times New Roman" w:eastAsia="Times New Roman" w:hAnsi="Times New Roman"/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A24C83"/>
    <w:rPr>
      <w:sz w:val="22"/>
      <w:szCs w:val="22"/>
      <w:lang w:eastAsia="en-US"/>
    </w:rPr>
  </w:style>
  <w:style w:type="paragraph" w:customStyle="1" w:styleId="Default">
    <w:name w:val="Default"/>
    <w:rsid w:val="002647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26472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26472D"/>
    <w:rPr>
      <w:rFonts w:ascii="Arial" w:eastAsia="Times New Roman" w:hAnsi="Arial"/>
      <w:b/>
      <w:sz w:val="24"/>
    </w:rPr>
  </w:style>
  <w:style w:type="paragraph" w:styleId="Corpodetexto">
    <w:name w:val="Body Text"/>
    <w:basedOn w:val="Normal"/>
    <w:link w:val="CorpodetextoChar"/>
    <w:unhideWhenUsed/>
    <w:rsid w:val="0026472D"/>
    <w:pPr>
      <w:spacing w:after="120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rsid w:val="0026472D"/>
    <w:rPr>
      <w:rFonts w:ascii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953BB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8953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C3C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body"/>
    <w:basedOn w:val="Normal"/>
    <w:rsid w:val="00E256C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AD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B5E0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rsid w:val="00DB5E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B5E0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DB5E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B5E05"/>
  </w:style>
  <w:style w:type="paragraph" w:styleId="SemEspaamento">
    <w:name w:val="No Spacing"/>
    <w:link w:val="SemEspaamentoChar"/>
    <w:uiPriority w:val="1"/>
    <w:qFormat/>
    <w:rsid w:val="00DB5E05"/>
    <w:rPr>
      <w:sz w:val="22"/>
      <w:szCs w:val="22"/>
      <w:lang w:eastAsia="en-US"/>
    </w:rPr>
  </w:style>
  <w:style w:type="character" w:styleId="Hyperlink">
    <w:name w:val="Hyperlink"/>
    <w:rsid w:val="00DB5E0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7429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29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429AD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5E7E7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7E71"/>
  </w:style>
  <w:style w:type="character" w:customStyle="1" w:styleId="TextodecomentrioChar">
    <w:name w:val="Texto de comentário Char"/>
    <w:link w:val="Textodecomentrio"/>
    <w:uiPriority w:val="99"/>
    <w:semiHidden/>
    <w:rsid w:val="005E7E71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7E7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E7E71"/>
    <w:rPr>
      <w:rFonts w:ascii="Times New Roman" w:eastAsia="Times New Roman" w:hAnsi="Times New Roman"/>
      <w:b/>
      <w:bCs/>
    </w:rPr>
  </w:style>
  <w:style w:type="character" w:customStyle="1" w:styleId="SemEspaamentoChar">
    <w:name w:val="Sem Espaçamento Char"/>
    <w:link w:val="SemEspaamento"/>
    <w:uiPriority w:val="1"/>
    <w:locked/>
    <w:rsid w:val="00A24C83"/>
    <w:rPr>
      <w:sz w:val="22"/>
      <w:szCs w:val="22"/>
      <w:lang w:eastAsia="en-US"/>
    </w:rPr>
  </w:style>
  <w:style w:type="paragraph" w:customStyle="1" w:styleId="Default">
    <w:name w:val="Default"/>
    <w:rsid w:val="002647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26472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link w:val="Ttulo"/>
    <w:rsid w:val="0026472D"/>
    <w:rPr>
      <w:rFonts w:ascii="Arial" w:eastAsia="Times New Roman" w:hAnsi="Arial"/>
      <w:b/>
      <w:sz w:val="24"/>
    </w:rPr>
  </w:style>
  <w:style w:type="paragraph" w:styleId="Corpodetexto">
    <w:name w:val="Body Text"/>
    <w:basedOn w:val="Normal"/>
    <w:link w:val="CorpodetextoChar"/>
    <w:unhideWhenUsed/>
    <w:rsid w:val="0026472D"/>
    <w:pPr>
      <w:spacing w:after="120"/>
    </w:pPr>
    <w:rPr>
      <w:rFonts w:eastAsia="Calibri"/>
      <w:sz w:val="24"/>
      <w:szCs w:val="24"/>
    </w:rPr>
  </w:style>
  <w:style w:type="character" w:customStyle="1" w:styleId="CorpodetextoChar">
    <w:name w:val="Corpo de texto Char"/>
    <w:link w:val="Corpodetexto"/>
    <w:rsid w:val="0026472D"/>
    <w:rPr>
      <w:rFonts w:ascii="Times New Roman" w:hAnsi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953BB"/>
    <w:rPr>
      <w:color w:val="954F72"/>
      <w:u w:val="single"/>
    </w:rPr>
  </w:style>
  <w:style w:type="character" w:customStyle="1" w:styleId="MenoPendente1">
    <w:name w:val="Menção Pendente1"/>
    <w:uiPriority w:val="99"/>
    <w:semiHidden/>
    <w:unhideWhenUsed/>
    <w:rsid w:val="008953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C3C"/>
    <w:pPr>
      <w:spacing w:before="100" w:beforeAutospacing="1" w:after="100" w:afterAutospacing="1"/>
    </w:pPr>
    <w:rPr>
      <w:sz w:val="24"/>
      <w:szCs w:val="24"/>
    </w:rPr>
  </w:style>
  <w:style w:type="paragraph" w:customStyle="1" w:styleId="textbody">
    <w:name w:val="textbody"/>
    <w:basedOn w:val="Normal"/>
    <w:rsid w:val="00E256C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42FA-CD1E-4CD1-96C3-0E0DADA3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2199</Words>
  <Characters>11876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14047</CharactersWithSpaces>
  <SharedDoc>false</SharedDoc>
  <HLinks>
    <vt:vector size="12" baseType="variant">
      <vt:variant>
        <vt:i4>2162746</vt:i4>
      </vt:variant>
      <vt:variant>
        <vt:i4>5</vt:i4>
      </vt:variant>
      <vt:variant>
        <vt:i4>0</vt:i4>
      </vt:variant>
      <vt:variant>
        <vt:i4>5</vt:i4>
      </vt:variant>
      <vt:variant>
        <vt:lpwstr>http://www.cimvalpi.mg.gov.br/</vt:lpwstr>
      </vt:variant>
      <vt:variant>
        <vt:lpwstr/>
      </vt:variant>
      <vt:variant>
        <vt:i4>5701749</vt:i4>
      </vt:variant>
      <vt:variant>
        <vt:i4>2</vt:i4>
      </vt:variant>
      <vt:variant>
        <vt:i4>0</vt:i4>
      </vt:variant>
      <vt:variant>
        <vt:i4>5</vt:i4>
      </vt:variant>
      <vt:variant>
        <vt:lpwstr>mailto:cimvalpi@cimvalpi.mg.gov.br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Amapi</dc:creator>
  <cp:lastModifiedBy>Thais</cp:lastModifiedBy>
  <cp:revision>4</cp:revision>
  <cp:lastPrinted>2025-02-13T17:10:00Z</cp:lastPrinted>
  <dcterms:created xsi:type="dcterms:W3CDTF">2025-02-13T17:09:00Z</dcterms:created>
  <dcterms:modified xsi:type="dcterms:W3CDTF">2025-02-13T17:10:00Z</dcterms:modified>
</cp:coreProperties>
</file>