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TERMO DE REFERÊNCIA</w:t>
      </w:r>
    </w:p>
    <w:p>
      <w:pPr>
        <w:jc w:val="center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PROCESSO ADMINISTRATIVO DE COMPRAS – PAC Nº 013/2023</w:t>
      </w:r>
    </w:p>
    <w:p>
      <w:pPr>
        <w:jc w:val="both"/>
        <w:rPr>
          <w:rFonts w:ascii="Corbel" w:hAnsi="Corbel" w:eastAsia="Times New Roman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hAnsi="Corbel" w:eastAsia="Times New Roman" w:cs="Arial"/>
          <w:b/>
          <w:bCs/>
          <w:color w:val="444444"/>
          <w:sz w:val="24"/>
          <w:szCs w:val="24"/>
          <w:lang w:eastAsia="pt-BR"/>
        </w:rPr>
        <w:t>1.Objeto</w:t>
      </w:r>
    </w:p>
    <w:p>
      <w:pPr>
        <w:jc w:val="both"/>
        <w:rPr>
          <w:rFonts w:ascii="Corbel" w:hAnsi="Corbel" w:cs="Times New Roman"/>
          <w:sz w:val="24"/>
          <w:szCs w:val="24"/>
        </w:rPr>
      </w:pPr>
      <w:r>
        <w:rPr>
          <w:rFonts w:ascii="Corbel" w:hAnsi="Corbel"/>
          <w:sz w:val="24"/>
          <w:szCs w:val="24"/>
        </w:rPr>
        <w:t>1.1. Bebidas e outros itens de  buffet,  durante o evento de Honra ao Mérito/Cidadão Honorário/Denominação do Plenário, da Câmara Municipal de Piedade de Ponte Nova/MG, de acordo com as especificações constante do termo de referência.</w:t>
      </w:r>
    </w:p>
    <w:p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1.2  O objeto deste Pregão será adjudicado por MENOR PREÇO GLOBAL, ao licitante vencedor.</w:t>
      </w:r>
    </w:p>
    <w:p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 1.3. O critério de adjudicação global se justifica no fornecimento de itens de bebidas de  pronta-entrega  a serem consumidos no  mesmo evento de reunião solene da Câmara Municipal de Piedade de Ponte Nova/MG. A adjudicação por itens traria prejuízo para o conjunto e perda de economia de escala, considerando a quantidade reduzida de itens.</w:t>
      </w:r>
    </w:p>
    <w:p>
      <w:pPr>
        <w:spacing w:after="0" w:line="240" w:lineRule="auto"/>
        <w:contextualSpacing/>
        <w:jc w:val="center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DAS ESPECIFICAÇÕES DO OBJETO:</w:t>
      </w:r>
    </w:p>
    <w:p>
      <w:pPr>
        <w:spacing w:after="0" w:line="240" w:lineRule="auto"/>
        <w:jc w:val="both"/>
        <w:rPr>
          <w:rFonts w:ascii="Corbel" w:hAnsi="Corbel" w:eastAsia="Times New Roman" w:cs="Arial"/>
          <w:sz w:val="24"/>
          <w:szCs w:val="24"/>
          <w:lang w:eastAsia="pt-BR"/>
        </w:rPr>
      </w:pPr>
    </w:p>
    <w:p>
      <w:pPr>
        <w:spacing w:after="0" w:line="240" w:lineRule="auto"/>
        <w:jc w:val="both"/>
        <w:rPr>
          <w:rFonts w:ascii="Corbel" w:hAnsi="Corbel" w:eastAsia="Times New Roman" w:cs="Arial"/>
          <w:sz w:val="24"/>
          <w:szCs w:val="24"/>
          <w:lang w:eastAsia="pt-BR"/>
        </w:rPr>
      </w:pPr>
    </w:p>
    <w:tbl>
      <w:tblPr>
        <w:tblStyle w:val="3"/>
        <w:tblW w:w="5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3655"/>
        <w:gridCol w:w="1886"/>
        <w:gridCol w:w="1256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  <w:t>DESCRIÇÃO DO PRODUTO/SERVIÇO (OBJETO)*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  <w:t>VALOR GLOBAL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Style w:val="10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REFRIGERANTE: </w:t>
            </w:r>
            <w:r>
              <w:rPr>
                <w:rStyle w:val="11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COLA: envasado em garrafas PET reciclável de 2 Litros, classificação normal. (Marca-referência indicativa de parâmetro de qualidade: COCA-COLA, EQUIVALENTE OU DE MELHOR QUALIDADE, Quantidade: 10,</w:t>
            </w:r>
            <w:r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Style w:val="11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 de fornecimento: Unidade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eastAsia="Calibri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10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GÁS REFRIGERANTE: </w:t>
            </w:r>
            <w:r>
              <w:rPr>
                <w:rStyle w:val="11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LARANJA: envasado em garrafas PET reciclável de 2 Litros, classificação normal. (Marca-referência indicativa de parâmetro de qualidade: FANTA DA FABRICANTE COCA-COLA COMPANY, EQUIVALENTE OU DE MELHOR QUALIDADE 15 - Unidade de fornecimento: Unidade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15 unidades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Style w:val="10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>GÁS REFRIGERANTE:</w:t>
            </w:r>
            <w:r>
              <w:rPr>
                <w:rStyle w:val="11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GUARANÁ: envasado em garrafas PET reciclável de 2 Litros, classificação normal. (Marca-referência indicativa de parâmetro de qualidade: Antárctica, equivalente ou de melhor qualidade. Quantidade: 15;</w:t>
            </w:r>
            <w:r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Style w:val="11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 de fornecimento: Unidade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15 unidades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Fonts w:ascii="Corbel" w:hAnsi="Corbel" w:cs="Calibri"/>
                <w:sz w:val="18"/>
                <w:szCs w:val="18"/>
              </w:rPr>
              <w:t>Suco de nectar da fruta em caixa tetra pak de diversos sabores: uva, caju,maracujá, manga, outros.Embalagem contendo 1 litro.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32 caixas, sendo 08 de cada sabor (mínimo)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18"/>
                <w:szCs w:val="18"/>
              </w:rPr>
            </w:pPr>
            <w:r>
              <w:rPr>
                <w:rFonts w:ascii="Corbel" w:hAnsi="Corbel" w:cs="Calibri"/>
                <w:sz w:val="18"/>
                <w:szCs w:val="18"/>
              </w:rPr>
              <w:t>Garrafa água mineral sem gás – garrafa  510ml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400 garrafas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Fonts w:ascii="Corbel" w:hAnsi="Corbel" w:cs="Times New Roman"/>
                <w:sz w:val="18"/>
                <w:szCs w:val="18"/>
              </w:rPr>
              <w:t xml:space="preserve">Copo plástico 200 ml branco descartável 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Total de 1.500 unidades ( sendo 15 pacotes com 100 unidades cada)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hAnsi="Corbel" w:eastAsia="Times New Roman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color w:val="0F1111"/>
                <w:kern w:val="36"/>
                <w:sz w:val="18"/>
                <w:szCs w:val="18"/>
                <w:lang w:eastAsia="pt-BR"/>
              </w:rPr>
              <w:t>Guardanapo de papel folha dupla  de boa qualidade, tamanho sugerido 23,5cm x 23,5cm - kit com 50</w:t>
            </w:r>
            <w:bookmarkStart w:id="0" w:name="_GoBack"/>
            <w:bookmarkEnd w:id="0"/>
            <w:r>
              <w:rPr>
                <w:rFonts w:ascii="Corbel" w:hAnsi="Corbel" w:eastAsia="Times New Roman" w:cs="Arial"/>
                <w:color w:val="0F1111"/>
                <w:kern w:val="36"/>
                <w:sz w:val="18"/>
                <w:szCs w:val="18"/>
                <w:lang w:eastAsia="pt-BR"/>
              </w:rPr>
              <w:t xml:space="preserve"> unidades</w:t>
            </w:r>
          </w:p>
          <w:p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08 kits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</w:pPr>
            <w:r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  <w:t>Correção de erro de digitação: onde se lê 500, leia-se 50 unidades.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hAnsi="Corbel" w:eastAsia="Times New Roman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color w:val="0F1111"/>
                <w:kern w:val="36"/>
                <w:sz w:val="18"/>
                <w:szCs w:val="18"/>
                <w:lang w:eastAsia="pt-BR"/>
              </w:rPr>
              <w:t>Saco de lixo reforçado 50 litros com 50 unidades</w:t>
            </w: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10 rolos(unidades)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24"/>
                <w:szCs w:val="24"/>
                <w:lang w:eastAsia="pt-BR"/>
              </w:rPr>
            </w:pPr>
          </w:p>
        </w:tc>
      </w:tr>
    </w:tbl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27"/>
        </w:pBdr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Obs.</w:t>
      </w: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27"/>
        </w:pBdr>
        <w:tabs>
          <w:tab w:val="left" w:pos="1232"/>
          <w:tab w:val="center" w:pos="425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</w:p>
    <w:p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                                                               </w:t>
      </w:r>
    </w:p>
    <w:p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          </w:t>
      </w:r>
    </w:p>
    <w:p>
      <w:pPr>
        <w:spacing w:after="0" w:line="240" w:lineRule="auto"/>
        <w:jc w:val="both"/>
        <w:rPr>
          <w:rFonts w:ascii="Corbel" w:hAnsi="Corbel" w:eastAsia="Times New Roman" w:cs="Arial"/>
          <w:sz w:val="24"/>
          <w:szCs w:val="24"/>
          <w:lang w:eastAsia="pt-BR"/>
        </w:rPr>
      </w:pPr>
      <w:r>
        <w:rPr>
          <w:rFonts w:ascii="Corbel" w:hAnsi="Corbel" w:eastAsia="Times New Roman" w:cs="Arial"/>
          <w:sz w:val="24"/>
          <w:szCs w:val="24"/>
          <w:lang w:eastAsia="pt-BR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>
        <w:rPr>
          <w:rFonts w:ascii="Corbel" w:hAnsi="Corbel" w:eastAsia="Times New Roman" w:cs="Arial"/>
          <w:b/>
          <w:sz w:val="24"/>
          <w:szCs w:val="24"/>
          <w:lang w:eastAsia="pt-BR"/>
        </w:rPr>
        <w:t>Produtos/serviços com descrição diversa da constante do campo DESCRIÇÃO DO PRODUTO/SERVIÇO que não estejam especificados no campo OBSERVAÇÕES serão desconsiderados para fins da contratação pretendida</w:t>
      </w:r>
      <w:r>
        <w:rPr>
          <w:rFonts w:ascii="Corbel" w:hAnsi="Corbel" w:eastAsia="Times New Roman" w:cs="Arial"/>
          <w:sz w:val="24"/>
          <w:szCs w:val="24"/>
          <w:lang w:eastAsia="pt-BR"/>
        </w:rPr>
        <w:t xml:space="preserve">, bem como os produtos/serviços precificados nos campos VALOR UNITÁRIO e VALOR TOTAL serão considerados como estritamente descritos no objeto na licitação, no campo DESCRIÇÃO DO PRODUTO/SERVIÇO, devendo ser entregues com as características ali descritas em caso de ser o orçamento vencedor e a contratação efetivada, em data de 27 de outubro de 2023, no horário das 18 horas, sob pena de penalidades legais cabíveis. </w:t>
      </w:r>
    </w:p>
    <w:p>
      <w:pPr>
        <w:spacing w:after="0" w:line="240" w:lineRule="auto"/>
        <w:contextualSpacing/>
        <w:jc w:val="both"/>
        <w:rPr>
          <w:rFonts w:ascii="Corbel" w:hAnsi="Corbel" w:eastAsia="Times New Roman" w:cs="Arial"/>
          <w:b/>
          <w:sz w:val="24"/>
          <w:szCs w:val="24"/>
          <w:lang w:eastAsia="pt-BR"/>
        </w:rPr>
      </w:pPr>
    </w:p>
    <w:p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2. Da Justificativa</w:t>
      </w:r>
    </w:p>
    <w:p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 xml:space="preserve"> 2.1 Justifica-se a necessidade da contratação dos itens em questão a fim de que seja realizado o evento devidamente aprovado no Regimento Interno, Honra ao Mérito, Cidadão Honorário, sendo estimado um público de 150 (cento e cinquenta) pessoas, tendo em vista ser um momento de grande relevância para a comunidade, sendo que o número de homenageados serão 18 (dezoito), porém contamos com a participação de autoridades e populares  presentes ao evento. O público presente no evento semelhante em 2022 foram aproximadamente de 120 pessoas.</w:t>
      </w:r>
    </w:p>
    <w:p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2.2 As homenagens em questão foram devidamente aprovadas pelo Plenário. Os méritos ao recebimento das homenagens são indiscutíveis por se tratarem de pessoas reconhecidamente merecedoras e são exemplos na comunidade. Os tipos de honraria são previamente discriminados no Regimento Interno, seguindo o rito de aprovação do mesmo.</w:t>
      </w:r>
    </w:p>
    <w:p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2.3 A sessão solene será o momento de entrega das honrarias, momento previamente marcado para 27 de  outubro de 2023, em sessão solene.</w:t>
      </w:r>
    </w:p>
    <w:p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3. Do Fundamento Legal</w:t>
      </w:r>
    </w:p>
    <w:p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3.1 O procedimento licitatório obedecerá às disposições da Lei Federal nº. 14.133/2021, da legislação correlata e demais exigências previstas neste Edital e seus Anexos.</w:t>
      </w:r>
    </w:p>
    <w:p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4.Da Despesa e  dos Recursos Orçamentários</w:t>
      </w:r>
      <w:r>
        <w:rPr>
          <w:rFonts w:ascii="Corbel" w:hAnsi="Corbel" w:cs="Arial"/>
          <w:sz w:val="24"/>
          <w:szCs w:val="24"/>
        </w:rPr>
        <w:t xml:space="preserve"> </w:t>
      </w:r>
    </w:p>
    <w:p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4.1. A despesa com a execução do objeto será atendida pelo elemento de despesa nº 4.002 – Manutenção Com Recepções, Homenagens, Hospedagens e outros – 339030 – Material de Consumo – Ficha 002;    339039 – Outros Serviços de Terceiros – Pessoa Jurídica – Ficha 005 ;– do Orçamento Municipal 2023.</w:t>
      </w:r>
    </w:p>
    <w:p>
      <w:pPr>
        <w:pStyle w:val="6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>
        <w:rPr>
          <w:rStyle w:val="4"/>
          <w:rFonts w:ascii="Corbel" w:hAnsi="Corbel" w:cs="Arial"/>
          <w:color w:val="000000"/>
        </w:rPr>
        <w:t>5.Da Documentação</w:t>
      </w:r>
    </w:p>
    <w:p>
      <w:pPr>
        <w:pStyle w:val="6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>
        <w:rPr>
          <w:rFonts w:ascii="Corbel" w:hAnsi="Corbel" w:cs="Arial"/>
          <w:color w:val="000000"/>
        </w:rPr>
        <w:t>5.1 Os interessados deverão apresentar documentação relativa à habilitação jurídica, qualificação técnica, qualificação econômico-financeira, regularidade fiscal e trabalhista.</w:t>
      </w:r>
    </w:p>
    <w:p>
      <w:pPr>
        <w:pStyle w:val="6"/>
        <w:spacing w:after="0" w:afterAutospacing="0" w:line="360" w:lineRule="auto"/>
        <w:jc w:val="both"/>
        <w:rPr>
          <w:rFonts w:ascii="Corbel" w:hAnsi="Corbel" w:cs="Arial"/>
          <w:color w:val="000000"/>
        </w:rPr>
      </w:pPr>
      <w:r>
        <w:rPr>
          <w:rStyle w:val="4"/>
          <w:rFonts w:ascii="Corbel" w:hAnsi="Corbel" w:cs="Arial"/>
          <w:b w:val="0"/>
          <w:color w:val="000000"/>
        </w:rPr>
        <w:t>5.2  A documentação mínima relativa à habilitação jurídica, à regularidade fiscal e trabalhista</w:t>
      </w:r>
      <w:r>
        <w:rPr>
          <w:rStyle w:val="4"/>
          <w:rFonts w:ascii="Corbel" w:hAnsi="Corbel" w:cs="Arial"/>
          <w:color w:val="000000"/>
        </w:rPr>
        <w:t xml:space="preserve"> </w:t>
      </w:r>
      <w:r>
        <w:rPr>
          <w:rFonts w:ascii="Corbel" w:hAnsi="Corbel" w:cs="Arial"/>
          <w:color w:val="000000"/>
        </w:rPr>
        <w:t xml:space="preserve"> consistirá em na cédula de identidade;  ato constitutivo, estatuto/ contrato social em vigor, devidamente registrado ou cópia do CNPJ ou requerimento de inscrição; prova de regularidade com a Fazenda Federal (CND); prova de regularidade com o FGTS e com a Justiça do Trabalho (CNDT).</w:t>
      </w:r>
    </w:p>
    <w:p>
      <w:pPr>
        <w:spacing w:after="0" w:line="360" w:lineRule="auto"/>
        <w:jc w:val="both"/>
        <w:rPr>
          <w:rFonts w:ascii="Corbel" w:hAnsi="Corbel" w:cs="Arial"/>
          <w:sz w:val="24"/>
          <w:szCs w:val="24"/>
        </w:rPr>
      </w:pPr>
    </w:p>
    <w:p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6.Da Vistoria </w:t>
      </w:r>
    </w:p>
    <w:p>
      <w:pPr>
        <w:pStyle w:val="8"/>
        <w:ind w:left="0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6.1 A vistória ocorrerá na entrega dos itens pelos membros da Portaria nº 07/2023.</w:t>
      </w:r>
    </w:p>
    <w:p>
      <w:pPr>
        <w:pStyle w:val="8"/>
        <w:ind w:left="0"/>
        <w:jc w:val="both"/>
        <w:rPr>
          <w:rFonts w:ascii="Corbel" w:hAnsi="Corbel" w:cs="Arial"/>
          <w:sz w:val="24"/>
          <w:szCs w:val="24"/>
        </w:rPr>
      </w:pPr>
    </w:p>
    <w:p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7. Da Cotação prévia entre interessados do ramo em Processo de Dispensa ocorrido em 2022, mantendo se o intervalo de um ano para o evento semelhante.</w:t>
      </w:r>
    </w:p>
    <w:p>
      <w:pPr>
        <w:jc w:val="both"/>
        <w:rPr>
          <w:rFonts w:ascii="Corbel" w:hAnsi="Corbel" w:cs="Arial"/>
          <w:b/>
          <w:sz w:val="24"/>
          <w:szCs w:val="24"/>
        </w:rPr>
      </w:pPr>
    </w:p>
    <w:p>
      <w:pPr>
        <w:jc w:val="both"/>
        <w:rPr>
          <w:rFonts w:ascii="Corbel" w:hAnsi="Corbel" w:cs="Arial"/>
          <w:b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Corbel" w:hAnsi="Corbel" w:eastAsia="Times New Roman" w:cs="Arial"/>
          <w:b/>
          <w:sz w:val="24"/>
          <w:szCs w:val="24"/>
          <w:lang w:eastAsia="pt-BR"/>
        </w:rPr>
      </w:pPr>
      <w:r>
        <w:rPr>
          <w:rFonts w:ascii="Corbel" w:hAnsi="Corbel" w:eastAsia="Times New Roman" w:cs="Arial"/>
          <w:b/>
          <w:sz w:val="24"/>
          <w:szCs w:val="24"/>
          <w:lang w:eastAsia="pt-BR"/>
        </w:rPr>
        <w:t>MAPA DE PESQUISA DE MERCADO</w:t>
      </w:r>
    </w:p>
    <w:p>
      <w:pPr>
        <w:spacing w:after="0" w:line="240" w:lineRule="auto"/>
        <w:contextualSpacing/>
        <w:jc w:val="center"/>
        <w:rPr>
          <w:rFonts w:ascii="Corbel" w:hAnsi="Corbel" w:eastAsia="Times New Roman" w:cs="Arial"/>
          <w:b/>
          <w:sz w:val="24"/>
          <w:szCs w:val="24"/>
          <w:lang w:eastAsia="pt-BR"/>
        </w:rPr>
      </w:pPr>
      <w:r>
        <w:rPr>
          <w:rFonts w:ascii="Corbel" w:hAnsi="Corbel" w:eastAsia="Times New Roman" w:cs="Arial"/>
          <w:b/>
          <w:sz w:val="24"/>
          <w:szCs w:val="24"/>
          <w:lang w:eastAsia="pt-BR"/>
        </w:rPr>
        <w:t xml:space="preserve">Período: 28/09/2022 à 05/10/2022 </w:t>
      </w:r>
    </w:p>
    <w:p>
      <w:pPr>
        <w:spacing w:after="0" w:line="240" w:lineRule="auto"/>
        <w:jc w:val="both"/>
        <w:rPr>
          <w:rFonts w:ascii="Corbel" w:hAnsi="Corbel" w:eastAsia="Times New Roman" w:cs="Arial"/>
          <w:sz w:val="24"/>
          <w:szCs w:val="24"/>
          <w:lang w:eastAsia="pt-BR"/>
        </w:rPr>
      </w:pPr>
      <w:r>
        <w:rPr>
          <w:rFonts w:ascii="Corbel" w:hAnsi="Corbel"/>
          <w:sz w:val="24"/>
          <w:szCs w:val="24"/>
        </w:rPr>
        <w:t xml:space="preserve">                             </w:t>
      </w:r>
    </w:p>
    <w:tbl>
      <w:tblPr>
        <w:tblStyle w:val="3"/>
        <w:tblpPr w:leftFromText="141" w:rightFromText="141" w:bottomFromText="200" w:vertAnchor="text" w:horzAnchor="page" w:tblpX="893" w:tblpY="237"/>
        <w:tblW w:w="55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810"/>
        <w:gridCol w:w="1364"/>
        <w:gridCol w:w="643"/>
        <w:gridCol w:w="702"/>
        <w:gridCol w:w="625"/>
        <w:gridCol w:w="719"/>
        <w:gridCol w:w="1201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  <w:t>DESCRIÇÃO DO PRODUTO/SERVIÇO (OBJETO)*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  <w:t>Helvécio da Silva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  <w:t>Piovezana &amp; Martins Ltda</w:t>
            </w:r>
          </w:p>
        </w:tc>
        <w:tc>
          <w:tcPr>
            <w:tcW w:w="11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07"/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  <w:t>Banco de Preços</w:t>
            </w:r>
          </w:p>
          <w:p>
            <w:pPr>
              <w:spacing w:after="0" w:line="240" w:lineRule="auto"/>
              <w:ind w:left="-107"/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  <w:t>TCEMG 05/10/2022</w:t>
            </w:r>
          </w:p>
          <w:p>
            <w:pPr>
              <w:spacing w:after="0" w:line="240" w:lineRule="auto"/>
              <w:ind w:left="-107"/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b/>
                <w:sz w:val="18"/>
                <w:szCs w:val="18"/>
                <w:lang w:eastAsia="pt-BR"/>
              </w:rPr>
              <w:t>Preço máximo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4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Style w:val="10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>
            <w:pPr>
              <w:jc w:val="both"/>
              <w:rPr>
                <w:rFonts w:cs="Times New Roman"/>
              </w:rPr>
            </w:pPr>
            <w:r>
              <w:rPr>
                <w:rStyle w:val="10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REFRIGERANTE: </w:t>
            </w:r>
            <w:r>
              <w:rPr>
                <w:rStyle w:val="11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COLA: envasado em garrafas PET reciclável de 2 Litros, classificação normal. (Marca-referência indicativa de parâmetro de qualidade: COCA-COLA, EQUIVALENTE OU DE MELHOR QUALIDADE, Quantidade: 10,</w:t>
            </w:r>
            <w:r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Style w:val="11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 de fornecimento: Unidade</w:t>
            </w:r>
          </w:p>
        </w:tc>
        <w:tc>
          <w:tcPr>
            <w:tcW w:w="7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Vlr Unit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Vlr Global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Vlr Unit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Vlr Global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Vlr Unit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Vlr Global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2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7,50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75,00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8,25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82,50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8,59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85,90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0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10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GÁS REFRIGERANTE: </w:t>
            </w:r>
            <w:r>
              <w:rPr>
                <w:rStyle w:val="11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LARANJA: envasado em garrafas PET reciclável de 2 Litros, classificação normal. (Marca-referência indicativa de parâmetro de qualidade: FANTA DA FABRICANTE COCA-COLA COMPANY, EQUIVALENTE OU DE MELHOR QUALIDADE 10 - Unidade de fornecimento: Unidade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8,50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85,00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8,25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82,50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5,99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59,90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Style w:val="10"/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>GÁS REFRIGERANTE:</w:t>
            </w:r>
            <w:r>
              <w:rPr>
                <w:rStyle w:val="11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GUARANÁ: envasado em garrafas PET reciclável de 2 Litros, classificação normal. (Marca-referência indicativa de parâmetro de qualidade: Antárctica, equivalente ou de melhor qualidade. Quantidade: 10;</w:t>
            </w:r>
            <w:r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 w:type="textWrapping"/>
            </w:r>
            <w:r>
              <w:rPr>
                <w:rStyle w:val="11"/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 de fornecimento: Unidade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7,90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79,00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6,80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68,00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12,70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127,00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Fonts w:ascii="Corbel" w:hAnsi="Corbel" w:cs="Calibri"/>
                <w:sz w:val="18"/>
                <w:szCs w:val="18"/>
              </w:rPr>
              <w:t>Suco de nectar da fruta em caixa tetra pak de diversos sabores: uva, caju,maracujá, manga, outros.Embalagem contendo 1 litro.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28 caixas, sendo 7 de cada sabor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4,90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137,20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4,80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134,40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Não encontrado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Não encontrado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18"/>
                <w:szCs w:val="18"/>
              </w:rPr>
            </w:pPr>
            <w:r>
              <w:rPr>
                <w:rFonts w:ascii="Corbel" w:hAnsi="Corbel" w:cs="Calibri"/>
                <w:sz w:val="18"/>
                <w:szCs w:val="18"/>
              </w:rPr>
              <w:t>Garrafa água mineral sem gás – garrafa  510ml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400 garrafas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Não cotou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Não cotou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0,99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396,00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4,00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1.600,00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Corbel" w:hAnsi="Corbel" w:cs="Times New Roman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Corbel" w:hAnsi="Corbel" w:cs="Times New Roman"/>
                <w:sz w:val="18"/>
                <w:szCs w:val="18"/>
              </w:rPr>
            </w:pPr>
            <w:r>
              <w:rPr>
                <w:rFonts w:ascii="Corbel" w:hAnsi="Corbel" w:cs="Times New Roman"/>
                <w:sz w:val="18"/>
                <w:szCs w:val="18"/>
              </w:rPr>
              <w:t xml:space="preserve">Copo plástico 200 ml branco descartável 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Total de 1.500 unidades ( sendo 15 pacotes com 100 unidades cada)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5,90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88,50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5,60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84,00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7,50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75,00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hAnsi="Corbel" w:eastAsia="Times New Roman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color w:val="0F1111"/>
                <w:kern w:val="36"/>
                <w:sz w:val="18"/>
                <w:szCs w:val="18"/>
                <w:lang w:eastAsia="pt-BR"/>
              </w:rPr>
              <w:t>Guardanapo de papel folha dupla  de boa qualidade, tamanho sugerido 23,5cm x 23,5cm - kit com 500 unidades</w:t>
            </w:r>
          </w:p>
          <w:p>
            <w:pPr>
              <w:jc w:val="both"/>
              <w:rPr>
                <w:rFonts w:ascii="Corbel" w:hAnsi="Corbel" w:cs="Times New Roman"/>
                <w:sz w:val="18"/>
                <w:szCs w:val="18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08 kits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Não cotou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Não cotou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1,85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14,80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4,99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49,90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hAnsi="Corbel" w:eastAsia="Times New Roman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color w:val="0F1111"/>
                <w:kern w:val="36"/>
                <w:sz w:val="18"/>
                <w:szCs w:val="18"/>
                <w:lang w:eastAsia="pt-BR"/>
              </w:rPr>
              <w:t>Saco de lixo reforçado 100 litros com 25 unidades</w:t>
            </w:r>
          </w:p>
          <w:p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hAnsi="Corbel" w:eastAsia="Times New Roman" w:cs="Arial"/>
                <w:color w:val="0F1111"/>
                <w:kern w:val="36"/>
                <w:sz w:val="18"/>
                <w:szCs w:val="18"/>
                <w:lang w:eastAsia="pt-BR"/>
              </w:rPr>
            </w:pP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10 rolos (unidades)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8,50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85,00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16,30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163,00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69,00</w:t>
            </w: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Por pct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690,00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hAnsi="Corbel" w:eastAsia="Times New Roman" w:cs="Arial"/>
                <w:color w:val="0F1111"/>
                <w:kern w:val="36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color w:val="0F1111"/>
                <w:kern w:val="36"/>
                <w:sz w:val="18"/>
                <w:szCs w:val="18"/>
                <w:lang w:eastAsia="pt-BR"/>
              </w:rPr>
              <w:t>Saco de lixo reforçado 50 litros com 50 unidades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10 rolos(unidades)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8,50</w:t>
            </w: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85,00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16,90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169,00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17,99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</w:pPr>
            <w:r>
              <w:rPr>
                <w:rFonts w:ascii="Corbel" w:hAnsi="Corbel" w:eastAsia="Times New Roman" w:cs="Arial"/>
                <w:sz w:val="18"/>
                <w:szCs w:val="18"/>
                <w:lang w:eastAsia="pt-BR"/>
              </w:rPr>
              <w:t>179,90</w:t>
            </w:r>
          </w:p>
        </w:tc>
      </w:tr>
    </w:tbl>
    <w:p>
      <w:pPr>
        <w:spacing w:after="0" w:line="240" w:lineRule="auto"/>
        <w:jc w:val="both"/>
        <w:rPr>
          <w:rFonts w:ascii="Corbel" w:hAnsi="Corbel" w:eastAsia="Times New Roman" w:cs="Arial"/>
          <w:sz w:val="24"/>
          <w:szCs w:val="24"/>
          <w:lang w:eastAsia="pt-BR"/>
        </w:rPr>
      </w:pPr>
      <w:r>
        <w:rPr>
          <w:rFonts w:ascii="Corbel" w:hAnsi="Corbel"/>
          <w:sz w:val="24"/>
          <w:szCs w:val="24"/>
        </w:rPr>
        <w:t xml:space="preserve">                             </w:t>
      </w:r>
    </w:p>
    <w:p>
      <w:pPr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Importante: As bebidas deverão ser entregues devidamente geladas em data de 27/10/2023, horário das 18 horas, à rua Professor José Sátiro de Melo, 85, centro, Piedade de Ponte Nova/MG, em condições de serem servidos a partir das 20 horas desta data. </w:t>
      </w:r>
    </w:p>
    <w:p>
      <w:pPr>
        <w:ind w:left="-567"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8. Manifestação Da Administração na busca em obter propostas adicionais de eventuais interessados</w:t>
      </w:r>
    </w:p>
    <w:p>
      <w:pPr>
        <w:pStyle w:val="8"/>
        <w:ind w:left="-567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8.1 Conforme o parágrafo 3º do artigo 75 da Lei 14.133/21 (Nova Lei de Licitações), a Casa poderá obter propostas adicionais de eventuais interessados, inclusive das empresas que já apresentaram orçamentos, com o objetivo de selecionar a proposta mais vantajosa para a Câmara Municipal de Piedade de Ponte Nova. O setor de Compras da Casa já obteve orçamentos de empresas requeridas para obtenção das propostas ao serviço a ser contratado, conforme especificação do objeto acima relacionado.</w:t>
      </w:r>
    </w:p>
    <w:p>
      <w:pPr>
        <w:pStyle w:val="8"/>
        <w:ind w:left="-567"/>
        <w:jc w:val="both"/>
        <w:rPr>
          <w:rFonts w:ascii="Corbel" w:hAnsi="Corbel" w:cs="Arial"/>
          <w:sz w:val="24"/>
          <w:szCs w:val="24"/>
        </w:rPr>
      </w:pPr>
    </w:p>
    <w:p>
      <w:pPr>
        <w:pStyle w:val="8"/>
        <w:ind w:left="-567"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9. No presente processo a minuta de contrato foi dispensada por serem itens de pronta-entrega comumente consumidas pelo órgão municipal.</w:t>
      </w:r>
    </w:p>
    <w:p>
      <w:pPr>
        <w:pStyle w:val="8"/>
        <w:ind w:left="-567"/>
        <w:jc w:val="both"/>
        <w:rPr>
          <w:rFonts w:ascii="Corbel" w:hAnsi="Corbel" w:cs="Arial"/>
          <w:sz w:val="24"/>
          <w:szCs w:val="24"/>
        </w:rPr>
      </w:pPr>
    </w:p>
    <w:p>
      <w:pPr>
        <w:pStyle w:val="8"/>
        <w:ind w:left="-567"/>
        <w:jc w:val="center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Piedade de Ponte Nova, 16 de agosto  de 2023</w:t>
      </w:r>
    </w:p>
    <w:p>
      <w:pPr>
        <w:pStyle w:val="8"/>
        <w:ind w:left="-567"/>
        <w:jc w:val="center"/>
        <w:rPr>
          <w:rFonts w:ascii="Corbel" w:hAnsi="Corbel" w:cs="Arial"/>
          <w:sz w:val="24"/>
          <w:szCs w:val="24"/>
        </w:rPr>
      </w:pPr>
    </w:p>
    <w:p>
      <w:pPr>
        <w:pStyle w:val="8"/>
        <w:ind w:left="-567"/>
        <w:jc w:val="center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Maria Aparecida Brum da Silveira</w:t>
      </w:r>
    </w:p>
    <w:p>
      <w:pPr>
        <w:jc w:val="both"/>
        <w:rPr>
          <w:rFonts w:ascii="Corbel" w:hAnsi="Corbel" w:cs="Arial"/>
          <w:b/>
          <w:sz w:val="24"/>
          <w:szCs w:val="24"/>
        </w:rPr>
      </w:pPr>
    </w:p>
    <w:sectPr>
      <w:headerReference r:id="rId5" w:type="default"/>
      <w:pgSz w:w="11906" w:h="16838"/>
      <w:pgMar w:top="1417" w:right="1701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spacing w:after="0" w:line="240" w:lineRule="auto"/>
      <w:jc w:val="center"/>
      <w:rPr>
        <w:rFonts w:ascii="Bodoni MT" w:hAnsi="Bodoni MT" w:eastAsia="Times New Roman" w:cs="Times New Roman"/>
        <w:b/>
        <w:smallCaps/>
        <w:sz w:val="24"/>
        <w:szCs w:val="24"/>
        <w:lang w:eastAsia="pt-BR"/>
      </w:rPr>
    </w:pPr>
    <w:r>
      <w:rPr>
        <w:rFonts w:ascii="Bodoni MT" w:hAnsi="Bodoni MT" w:eastAsia="Times New Roman" w:cs="Times New Roman"/>
        <w:b/>
        <w:smallCaps/>
        <w:sz w:val="24"/>
        <w:szCs w:val="24"/>
        <w:lang w:eastAsia="pt-BR"/>
      </w:rPr>
      <w:pict>
        <v:shape id="_x0000_s2049" o:spid="_x0000_s2049" o:spt="75" type="#_x0000_t75" style="position:absolute;left:0pt;margin-left:-66pt;margin-top:1.85pt;height:63pt;width:56.35pt;mso-wrap-distance-bottom:0pt;mso-wrap-distance-top:0pt;z-index:251659264;mso-width-relative:page;mso-height-relative:page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topAndBottom"/>
        </v:shape>
        <o:OLEObject Type="Embed" ProgID="Word.Picture.8" ShapeID="_x0000_s2049" DrawAspect="Content" ObjectID="_1468075725" r:id="rId1">
          <o:LockedField>false</o:LockedField>
        </o:OLEObject>
      </w:pict>
    </w:r>
    <w:r>
      <w:rPr>
        <w:rFonts w:ascii="Bodoni MT" w:hAnsi="Bodoni MT" w:eastAsia="Times New Roman" w:cs="Times New Roman"/>
        <w:b/>
        <w:smallCaps/>
        <w:sz w:val="24"/>
        <w:szCs w:val="24"/>
        <w:lang w:eastAsia="pt-BR"/>
      </w:rPr>
      <w:t>Câmara Municipal de Piedade de Ponte Nova</w:t>
    </w:r>
  </w:p>
  <w:p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hAnsi="Bodoni MT" w:eastAsia="Times New Roman" w:cs="Times New Roman"/>
        <w:b/>
        <w:smallCaps/>
        <w:sz w:val="24"/>
        <w:szCs w:val="24"/>
        <w:lang w:eastAsia="pt-BR"/>
      </w:rPr>
    </w:pPr>
    <w:r>
      <w:rPr>
        <w:rFonts w:ascii="Bodoni MT" w:hAnsi="Bodoni MT" w:eastAsia="Times New Roman" w:cs="Times New Roman"/>
        <w:b/>
        <w:smallCaps/>
        <w:sz w:val="24"/>
        <w:szCs w:val="24"/>
        <w:lang w:eastAsia="pt-BR"/>
      </w:rPr>
      <w:tab/>
    </w:r>
    <w:r>
      <w:rPr>
        <w:rFonts w:ascii="Calibri" w:hAnsi="Calibri" w:eastAsia="Calibri" w:cs="Times New Roman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62865</wp:posOffset>
              </wp:positionV>
              <wp:extent cx="3429000" cy="0"/>
              <wp:effectExtent l="0" t="19050" r="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85.95pt;margin-top:4.95pt;height:0pt;width:270pt;z-index:251660288;mso-width-relative:page;mso-height-relative:page;" filled="f" stroked="t" coordsize="21600,21600" o:gfxdata="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uzokdzwAAAAcBAAAPAAAAAAAAAAEAIAAAACIAAABkcnMvZG93bnJl&#10;di54bWxQSwECFAAUAAAACACHTuJAjj9y4c0BAACpAwAADgAAAAAAAAABACAAAAAeAQAAZHJzL2Uy&#10;b0RvYy54bWxQSwUGAAAAAAYABgBZAQAAXQUAAAAA&#10;">
              <v:fill on="f" focussize="0,0"/>
              <v:stroke weight="3pt" color="#000000" joinstyle="round"/>
              <v:imagedata o:title=""/>
              <o:lock v:ext="edit" aspectratio="f"/>
            </v:line>
          </w:pict>
        </mc:Fallback>
      </mc:AlternateContent>
    </w:r>
    <w:r>
      <w:rPr>
        <w:rFonts w:ascii="Bodoni MT" w:hAnsi="Bodoni MT" w:eastAsia="Times New Roman" w:cs="Times New Roman"/>
        <w:b/>
        <w:smallCaps/>
        <w:sz w:val="24"/>
        <w:szCs w:val="24"/>
        <w:lang w:eastAsia="pt-BR"/>
      </w:rPr>
      <w:tab/>
    </w:r>
    <w:r>
      <w:rPr>
        <w:rFonts w:ascii="Bodoni MT" w:hAnsi="Bodoni MT" w:eastAsia="Times New Roman" w:cs="Times New Roman"/>
        <w:b/>
        <w:smallCaps/>
        <w:sz w:val="24"/>
        <w:szCs w:val="24"/>
        <w:lang w:eastAsia="pt-BR"/>
      </w:rPr>
      <w:tab/>
    </w:r>
  </w:p>
  <w:p>
    <w:pPr>
      <w:tabs>
        <w:tab w:val="center" w:pos="4419"/>
        <w:tab w:val="right" w:pos="8838"/>
      </w:tabs>
      <w:spacing w:after="0" w:line="240" w:lineRule="auto"/>
      <w:jc w:val="center"/>
      <w:rPr>
        <w:rFonts w:ascii="Bodoni MT" w:hAnsi="Bodoni MT" w:eastAsia="Times New Roman" w:cs="Times New Roman"/>
        <w:b/>
        <w:smallCaps/>
        <w:sz w:val="24"/>
        <w:szCs w:val="24"/>
        <w:lang w:eastAsia="pt-BR"/>
      </w:rPr>
    </w:pPr>
    <w:r>
      <w:rPr>
        <w:rFonts w:ascii="Bodoni MT" w:hAnsi="Bodoni MT" w:eastAsia="Times New Roman" w:cs="Times New Roman"/>
        <w:b/>
        <w:smallCaps/>
        <w:sz w:val="24"/>
        <w:szCs w:val="24"/>
        <w:lang w:eastAsia="pt-BR"/>
      </w:rPr>
      <w:t>CNPJ=00.907.927/0001-00    Telefax=31/3871-5110</w:t>
    </w:r>
  </w:p>
  <w:p>
    <w:pPr>
      <w:tabs>
        <w:tab w:val="center" w:pos="4419"/>
        <w:tab w:val="right" w:pos="8838"/>
      </w:tabs>
      <w:spacing w:after="0" w:line="240" w:lineRule="auto"/>
      <w:jc w:val="center"/>
      <w:rPr>
        <w:rFonts w:ascii="Bodoni MT" w:hAnsi="Bodoni MT" w:eastAsia="Times New Roman" w:cs="Times New Roman"/>
        <w:b/>
        <w:smallCaps/>
        <w:sz w:val="24"/>
        <w:szCs w:val="24"/>
        <w:lang w:eastAsia="pt-BR"/>
      </w:rPr>
    </w:pPr>
    <w:r>
      <w:rPr>
        <w:rFonts w:ascii="Bodoni MT" w:hAnsi="Bodoni MT" w:eastAsia="Times New Roman" w:cs="Times New Roman"/>
        <w:b/>
        <w:smallCaps/>
        <w:sz w:val="24"/>
        <w:szCs w:val="24"/>
        <w:lang w:eastAsia="pt-BR"/>
      </w:rPr>
      <w:t>Rua Professor José Sátiro de Melo, 85 –  Centro – CEP: 35.382-000</w:t>
    </w:r>
  </w:p>
  <w:p>
    <w:pPr>
      <w:pStyle w:val="7"/>
    </w:pP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38"/>
    <w:rsid w:val="00030741"/>
    <w:rsid w:val="006E2870"/>
    <w:rsid w:val="00A8570B"/>
    <w:rsid w:val="00B31DD1"/>
    <w:rsid w:val="00BD30C6"/>
    <w:rsid w:val="00BF5986"/>
    <w:rsid w:val="00C13E08"/>
    <w:rsid w:val="00D04A38"/>
    <w:rsid w:val="00E66A2D"/>
    <w:rsid w:val="139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basedOn w:val="2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Cabeçalho Char"/>
    <w:basedOn w:val="2"/>
    <w:link w:val="7"/>
    <w:uiPriority w:val="99"/>
  </w:style>
  <w:style w:type="character" w:customStyle="1" w:styleId="10">
    <w:name w:val="tex3b"/>
    <w:basedOn w:val="2"/>
    <w:uiPriority w:val="0"/>
  </w:style>
  <w:style w:type="character" w:customStyle="1" w:styleId="11">
    <w:name w:val="tex3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1412</Words>
  <Characters>7625</Characters>
  <Lines>63</Lines>
  <Paragraphs>18</Paragraphs>
  <TotalTime>1</TotalTime>
  <ScaleCrop>false</ScaleCrop>
  <LinksUpToDate>false</LinksUpToDate>
  <CharactersWithSpaces>9019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2023-08-29T13:37:00Z</dcterms:created>
  <dc:creator>Thais</dc:creator>
  <cp:lastModifiedBy>camar</cp:lastModifiedBy>
  <dcterms:modified xsi:type="dcterms:W3CDTF">2023-08-29T17:39:48Z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1046-12.2.0.13193</vt:lpwstr>
  </property>
  <property fmtid="{D5CDD505-2E9C-101B-9397-08002B2CF9AE}" pid="3" name="ICV">
    <vt:lpwstr>05125617F96E49DABBA4BE04FCA9642C_12</vt:lpwstr>
  </property>
</Properties>
</file>