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B2" w:rsidRDefault="0038724B" w:rsidP="004B2BAB">
      <w:pPr>
        <w:jc w:val="center"/>
        <w:rPr>
          <w:sz w:val="32"/>
          <w:szCs w:val="32"/>
        </w:rPr>
      </w:pPr>
      <w:r>
        <w:rPr>
          <w:sz w:val="32"/>
          <w:szCs w:val="32"/>
        </w:rPr>
        <w:t>AVISO DE DISPENSA Nº 005/2022</w:t>
      </w:r>
    </w:p>
    <w:p w:rsidR="0038724B" w:rsidRDefault="0038724B" w:rsidP="0038724B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Objeto: Compra de itens de informática</w:t>
      </w:r>
    </w:p>
    <w:p w:rsidR="00E317F4" w:rsidRPr="0038724B" w:rsidRDefault="00E317F4" w:rsidP="00E317F4">
      <w:pPr>
        <w:pStyle w:val="Commarcadores"/>
        <w:numPr>
          <w:ilvl w:val="0"/>
          <w:numId w:val="0"/>
        </w:numPr>
        <w:ind w:left="360"/>
        <w:rPr>
          <w:lang w:eastAsia="pt-BR"/>
        </w:rPr>
      </w:pPr>
      <w:r>
        <w:rPr>
          <w:lang w:eastAsia="pt-BR"/>
        </w:rPr>
        <w:t>Lei Federal 14.133/2021</w:t>
      </w:r>
    </w:p>
    <w:p w:rsidR="0038724B" w:rsidRPr="0038724B" w:rsidRDefault="0038724B" w:rsidP="0038724B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</w:p>
    <w:p w:rsidR="0038724B" w:rsidRPr="0038724B" w:rsidRDefault="0038724B" w:rsidP="0038724B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Interessados favor enviar a planilha de preço até</w:t>
      </w:r>
      <w:proofErr w:type="gramStart"/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29/04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/2022 às 14:0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0h para o correio eletrônico: camaramunicipalpiedadedepontenova@hotmail.com</w:t>
      </w:r>
    </w:p>
    <w:p w:rsidR="0038724B" w:rsidRPr="0038724B" w:rsidRDefault="0038724B" w:rsidP="0038724B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</w:p>
    <w:p w:rsidR="004D210D" w:rsidRPr="0038724B" w:rsidRDefault="004D210D" w:rsidP="0038724B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Termo de Referência: ANEXO</w:t>
      </w:r>
      <w:r w:rsidR="00D51800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I</w:t>
      </w:r>
    </w:p>
    <w:p w:rsidR="00D51800" w:rsidRDefault="0038724B" w:rsidP="00D51800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 </w:t>
      </w:r>
      <w:r w:rsidR="00D51800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ORÇAMENTO/</w:t>
      </w:r>
      <w:r w:rsidR="00D51800"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Preço: </w:t>
      </w:r>
      <w:hyperlink r:id="rId8" w:tgtFrame="_blank" w:history="1">
        <w:r w:rsidR="00D51800">
          <w:rPr>
            <w:rFonts w:ascii="Arial" w:eastAsia="Times New Roman" w:hAnsi="Arial" w:cs="Arial"/>
            <w:b/>
            <w:bCs/>
            <w:color w:val="1D390F"/>
            <w:sz w:val="30"/>
            <w:szCs w:val="30"/>
            <w:lang w:eastAsia="pt-BR"/>
          </w:rPr>
          <w:t>ANEXO</w:t>
        </w:r>
      </w:hyperlink>
      <w:r w:rsidR="00D51800"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</w:t>
      </w:r>
      <w:r w:rsidR="00D51800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II</w:t>
      </w:r>
    </w:p>
    <w:p w:rsidR="0038724B" w:rsidRPr="0038724B" w:rsidRDefault="0038724B" w:rsidP="0038724B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</w:p>
    <w:p w:rsidR="0038724B" w:rsidRPr="0038724B" w:rsidRDefault="0038724B" w:rsidP="0038724B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Tipo de julgamento: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menor preço.</w:t>
      </w:r>
    </w:p>
    <w:p w:rsidR="0038724B" w:rsidRPr="0038724B" w:rsidRDefault="0038724B" w:rsidP="0038724B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Local da entrega do produto/prestação do serviço: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Sede da Câmara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,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rua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Professor José Sátiro de Melo, 85, Centro</w:t>
      </w:r>
    </w:p>
    <w:p w:rsidR="0038724B" w:rsidRPr="0038724B" w:rsidRDefault="0038724B" w:rsidP="0038724B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CEP 35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.382-000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–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Piedade de 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Ponte Nova - MG </w:t>
      </w:r>
    </w:p>
    <w:p w:rsidR="0038724B" w:rsidRPr="0038724B" w:rsidRDefault="0038724B" w:rsidP="0038724B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Pagamento: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no prazo máximo de 10 (dez) dia após apresentação da Nota Fiscal.</w:t>
      </w:r>
    </w:p>
    <w:p w:rsidR="00EE2DC1" w:rsidRDefault="0038724B" w:rsidP="004B2BAB">
      <w:pPr>
        <w:shd w:val="clear" w:color="auto" w:fill="F1F1F1"/>
        <w:spacing w:after="0" w:line="336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Informações complementares: 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31 3871-5110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 </w:t>
      </w:r>
    </w:p>
    <w:p w:rsidR="001A66DD" w:rsidRDefault="001A66DD" w:rsidP="004B2BAB">
      <w:pPr>
        <w:shd w:val="clear" w:color="auto" w:fill="F1F1F1"/>
        <w:spacing w:after="0" w:line="336" w:lineRule="atLeast"/>
        <w:rPr>
          <w:sz w:val="32"/>
          <w:szCs w:val="32"/>
        </w:rPr>
      </w:pPr>
    </w:p>
    <w:p w:rsidR="001A66DD" w:rsidRDefault="001A66DD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1A66DD">
      <w:pPr>
        <w:jc w:val="center"/>
        <w:rPr>
          <w:sz w:val="32"/>
          <w:szCs w:val="32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ANEXO I 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NORMAS ESPECÍFICAS/PROJETO BÁSICO/TERMO DE REFERÊNCIA</w:t>
      </w:r>
    </w:p>
    <w:p w:rsidR="00D51800" w:rsidRPr="00C61276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24"/>
          <w:szCs w:val="24"/>
        </w:rPr>
      </w:pPr>
      <w:r>
        <w:rPr>
          <w:rFonts w:ascii="Corbel" w:eastAsia="Times New Roman" w:hAnsi="Corbel" w:cs="Corbel"/>
          <w:b/>
          <w:bCs/>
          <w:sz w:val="24"/>
          <w:szCs w:val="24"/>
        </w:rPr>
        <w:t>PROCESSO DE COMPRAS Nº 005/2022 - EQUIPAMENTOS DE INFORMÁTICA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jc w:val="both"/>
        <w:rPr>
          <w:rFonts w:ascii="Calibri" w:eastAsia="Calibri" w:hAnsi="Calibri" w:cs="Times New Roman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1 – DO OBJETO:</w:t>
      </w:r>
      <w:proofErr w:type="gramStart"/>
      <w:r w:rsidRPr="00C5440D">
        <w:rPr>
          <w:rFonts w:ascii="Calibri" w:eastAsia="Calibri" w:hAnsi="Calibri" w:cs="Times New Roman"/>
          <w:b/>
        </w:rPr>
        <w:t xml:space="preserve"> </w:t>
      </w:r>
      <w:r w:rsidRPr="00C61276">
        <w:rPr>
          <w:rFonts w:ascii="Calibri" w:eastAsia="Calibri" w:hAnsi="Calibri" w:cs="Times New Roman"/>
        </w:rPr>
        <w:t xml:space="preserve"> </w:t>
      </w:r>
      <w:proofErr w:type="gramEnd"/>
      <w:r>
        <w:rPr>
          <w:rFonts w:ascii="Calibri" w:eastAsia="Calibri" w:hAnsi="Calibri" w:cs="Times New Roman"/>
        </w:rPr>
        <w:t>Aquisição de EQUIPAMENTOS de informática: (02) dois notebooks e (01) uma impressora (tipo multifuncional, laser, monocromática, velocidade normal, com capacidade mensal de 8.000 cópias)  para  Pessoa Jurídica  Câmara Municipal de Piedade de Ponte Nova/MG.</w:t>
      </w:r>
    </w:p>
    <w:p w:rsidR="00D51800" w:rsidRDefault="00D51800" w:rsidP="00D51800">
      <w:pPr>
        <w:jc w:val="both"/>
        <w:rPr>
          <w:rFonts w:ascii="Calibri" w:eastAsia="Calibri" w:hAnsi="Calibri" w:cs="Times New Roman"/>
        </w:rPr>
      </w:pPr>
      <w:r w:rsidRPr="005E1BD5">
        <w:rPr>
          <w:rFonts w:ascii="Calibri" w:eastAsia="Calibri" w:hAnsi="Calibri" w:cs="Times New Roman"/>
          <w:b/>
          <w:sz w:val="28"/>
          <w:szCs w:val="28"/>
        </w:rPr>
        <w:t>Item 01 – Notebooks</w:t>
      </w:r>
      <w:proofErr w:type="gramStart"/>
      <w:r>
        <w:rPr>
          <w:rFonts w:ascii="Calibri" w:eastAsia="Calibri" w:hAnsi="Calibri" w:cs="Times New Roman"/>
        </w:rPr>
        <w:t xml:space="preserve">  </w:t>
      </w:r>
    </w:p>
    <w:p w:rsidR="00D51800" w:rsidRDefault="00D51800" w:rsidP="00D51800">
      <w:pPr>
        <w:jc w:val="both"/>
        <w:rPr>
          <w:rFonts w:ascii="Corbel" w:eastAsia="Calibri" w:hAnsi="Corbel" w:cs="Times New Roman"/>
          <w:sz w:val="24"/>
          <w:szCs w:val="24"/>
        </w:rPr>
      </w:pPr>
      <w:proofErr w:type="gramEnd"/>
      <w:r>
        <w:rPr>
          <w:rFonts w:ascii="Calibri" w:eastAsia="Calibri" w:hAnsi="Calibri" w:cs="Times New Roman"/>
        </w:rPr>
        <w:t xml:space="preserve">- Quantidade - </w:t>
      </w:r>
      <w:r>
        <w:rPr>
          <w:rFonts w:ascii="Corbel" w:eastAsia="Calibri" w:hAnsi="Corbel" w:cs="Times New Roman"/>
          <w:sz w:val="24"/>
          <w:szCs w:val="24"/>
        </w:rPr>
        <w:t>02 (dois) equipamentos</w:t>
      </w:r>
    </w:p>
    <w:p w:rsidR="00D51800" w:rsidRDefault="00D51800" w:rsidP="00D51800">
      <w:pPr>
        <w:jc w:val="both"/>
        <w:rPr>
          <w:rFonts w:ascii="Corbel" w:eastAsia="Calibri" w:hAnsi="Corbel" w:cs="Times New Roman"/>
          <w:sz w:val="24"/>
          <w:szCs w:val="24"/>
        </w:rPr>
      </w:pPr>
      <w:r>
        <w:rPr>
          <w:rFonts w:ascii="Corbel" w:eastAsia="Calibri" w:hAnsi="Corbel" w:cs="Times New Roman"/>
          <w:sz w:val="24"/>
          <w:szCs w:val="24"/>
        </w:rPr>
        <w:t xml:space="preserve"> – Situação (novos)</w:t>
      </w:r>
      <w:proofErr w:type="gramStart"/>
      <w:r>
        <w:rPr>
          <w:rFonts w:ascii="Corbel" w:eastAsia="Calibri" w:hAnsi="Corbel" w:cs="Times New Roman"/>
          <w:sz w:val="24"/>
          <w:szCs w:val="24"/>
        </w:rPr>
        <w:t xml:space="preserve">  </w:t>
      </w:r>
    </w:p>
    <w:p w:rsidR="00D51800" w:rsidRPr="00663459" w:rsidRDefault="00D51800" w:rsidP="00D51800">
      <w:pPr>
        <w:jc w:val="both"/>
        <w:rPr>
          <w:rFonts w:ascii="Corbel" w:eastAsia="Calibri" w:hAnsi="Corbel" w:cs="Times New Roman"/>
          <w:sz w:val="24"/>
          <w:szCs w:val="24"/>
        </w:rPr>
      </w:pPr>
      <w:proofErr w:type="gramEnd"/>
      <w:r>
        <w:rPr>
          <w:rFonts w:ascii="Corbel" w:eastAsia="Calibri" w:hAnsi="Corbel" w:cs="Times New Roman"/>
          <w:sz w:val="24"/>
          <w:szCs w:val="24"/>
        </w:rPr>
        <w:t xml:space="preserve">- Descrição: </w:t>
      </w:r>
      <w:r w:rsidRPr="00937CB8">
        <w:rPr>
          <w:rFonts w:ascii="Corbel" w:eastAsia="Calibri" w:hAnsi="Corbel" w:cs="Times New Roman"/>
          <w:sz w:val="24"/>
          <w:szCs w:val="24"/>
        </w:rPr>
        <w:t xml:space="preserve">PROCESSADOR: 11ª geração de Intel Core i7-1165g7 (4-core, cache de 12MB, até 4.7GHz) SISTEMA OPERACIONAL: Windows 11 Home Single </w:t>
      </w:r>
      <w:proofErr w:type="spellStart"/>
      <w:r w:rsidRPr="00937CB8">
        <w:rPr>
          <w:rFonts w:ascii="Corbel" w:eastAsia="Calibri" w:hAnsi="Corbel" w:cs="Times New Roman"/>
          <w:sz w:val="24"/>
          <w:szCs w:val="24"/>
        </w:rPr>
        <w:t>Language</w:t>
      </w:r>
      <w:proofErr w:type="spellEnd"/>
      <w:r w:rsidRPr="00937CB8">
        <w:rPr>
          <w:rFonts w:ascii="Corbel" w:eastAsia="Calibri" w:hAnsi="Corbel" w:cs="Times New Roman"/>
          <w:sz w:val="24"/>
          <w:szCs w:val="24"/>
        </w:rPr>
        <w:t>, Português                                                                                                                               PLACA DE VÍDEO: Intel Iris Xe com memória gráfica compartilhada                                                                                                 MEMÓRIA: 8GB (</w:t>
      </w:r>
      <w:proofErr w:type="gramStart"/>
      <w:r w:rsidRPr="00937CB8">
        <w:rPr>
          <w:rFonts w:ascii="Corbel" w:eastAsia="Calibri" w:hAnsi="Corbel" w:cs="Times New Roman"/>
          <w:sz w:val="24"/>
          <w:szCs w:val="24"/>
        </w:rPr>
        <w:t>2x4GB</w:t>
      </w:r>
      <w:proofErr w:type="gramEnd"/>
      <w:r w:rsidRPr="00937CB8">
        <w:rPr>
          <w:rFonts w:ascii="Corbel" w:eastAsia="Calibri" w:hAnsi="Corbel" w:cs="Times New Roman"/>
          <w:sz w:val="24"/>
          <w:szCs w:val="24"/>
        </w:rPr>
        <w:t xml:space="preserve">), DDR4, 2666MHz; Expansível até 16GB (2 slots </w:t>
      </w:r>
      <w:proofErr w:type="spellStart"/>
      <w:r w:rsidRPr="00937CB8">
        <w:rPr>
          <w:rFonts w:ascii="Corbel" w:eastAsia="Calibri" w:hAnsi="Corbel" w:cs="Times New Roman"/>
          <w:sz w:val="24"/>
          <w:szCs w:val="24"/>
        </w:rPr>
        <w:t>soDIMM</w:t>
      </w:r>
      <w:proofErr w:type="spellEnd"/>
      <w:r w:rsidRPr="00937CB8">
        <w:rPr>
          <w:rFonts w:ascii="Corbel" w:eastAsia="Calibri" w:hAnsi="Corbel" w:cs="Times New Roman"/>
          <w:sz w:val="24"/>
          <w:szCs w:val="24"/>
        </w:rPr>
        <w:t>)</w:t>
      </w:r>
      <w:r>
        <w:rPr>
          <w:rFonts w:ascii="Corbel" w:eastAsia="Calibri" w:hAnsi="Corbel" w:cs="Times New Roman"/>
          <w:sz w:val="24"/>
          <w:szCs w:val="24"/>
        </w:rPr>
        <w:t>.</w:t>
      </w:r>
      <w:r w:rsidRPr="00937CB8">
        <w:rPr>
          <w:rFonts w:ascii="Corbel" w:eastAsia="Calibri" w:hAnsi="Corbel" w:cs="Times New Roman"/>
          <w:sz w:val="24"/>
          <w:szCs w:val="24"/>
        </w:rPr>
        <w:t xml:space="preserve">   </w:t>
      </w:r>
      <w:r>
        <w:rPr>
          <w:rFonts w:ascii="Corbel" w:eastAsia="Calibri" w:hAnsi="Corbel" w:cs="Times New Roman"/>
          <w:sz w:val="24"/>
          <w:szCs w:val="24"/>
        </w:rPr>
        <w:t xml:space="preserve">Armazenamento: </w:t>
      </w:r>
      <w:proofErr w:type="gramStart"/>
      <w:r>
        <w:rPr>
          <w:rFonts w:ascii="Corbel" w:eastAsia="Calibri" w:hAnsi="Corbel" w:cs="Times New Roman"/>
          <w:sz w:val="24"/>
          <w:szCs w:val="24"/>
        </w:rPr>
        <w:t>SSDde256GB</w:t>
      </w:r>
      <w:proofErr w:type="gramEnd"/>
      <w:r>
        <w:rPr>
          <w:rFonts w:ascii="Corbel" w:eastAsia="Calibri" w:hAnsi="Corbel" w:cs="Times New Roman"/>
          <w:sz w:val="24"/>
          <w:szCs w:val="24"/>
        </w:rPr>
        <w:t xml:space="preserve"> </w:t>
      </w:r>
      <w:proofErr w:type="spellStart"/>
      <w:r>
        <w:rPr>
          <w:rFonts w:ascii="Corbel" w:eastAsia="Calibri" w:hAnsi="Corbel" w:cs="Times New Roman"/>
          <w:sz w:val="24"/>
          <w:szCs w:val="24"/>
        </w:rPr>
        <w:t>PCle</w:t>
      </w:r>
      <w:proofErr w:type="spellEnd"/>
      <w:r>
        <w:rPr>
          <w:rFonts w:ascii="Corbel" w:eastAsia="Calibri" w:hAnsi="Corbel" w:cs="Times New Roman"/>
          <w:sz w:val="24"/>
          <w:szCs w:val="24"/>
        </w:rPr>
        <w:t xml:space="preserve"> </w:t>
      </w:r>
      <w:proofErr w:type="spellStart"/>
      <w:r>
        <w:rPr>
          <w:rFonts w:ascii="Corbel" w:eastAsia="Calibri" w:hAnsi="Corbel" w:cs="Times New Roman"/>
          <w:sz w:val="24"/>
          <w:szCs w:val="24"/>
        </w:rPr>
        <w:t>NVMe</w:t>
      </w:r>
      <w:proofErr w:type="spellEnd"/>
      <w:r>
        <w:rPr>
          <w:rFonts w:ascii="Corbel" w:eastAsia="Calibri" w:hAnsi="Corbel" w:cs="Times New Roman"/>
          <w:sz w:val="24"/>
          <w:szCs w:val="24"/>
        </w:rPr>
        <w:t xml:space="preserve"> M.2 . </w:t>
      </w:r>
      <w:proofErr w:type="gramStart"/>
      <w:r>
        <w:rPr>
          <w:rFonts w:ascii="Corbel" w:eastAsia="Calibri" w:hAnsi="Corbel" w:cs="Times New Roman"/>
          <w:sz w:val="24"/>
          <w:szCs w:val="24"/>
        </w:rPr>
        <w:t xml:space="preserve">Tela HD 15,6 (1366x768) - </w:t>
      </w:r>
      <w:r>
        <w:rPr>
          <w:rFonts w:cs="Arial"/>
          <w:sz w:val="18"/>
          <w:szCs w:val="18"/>
        </w:rPr>
        <w:t>)</w:t>
      </w:r>
      <w:proofErr w:type="gramEnd"/>
      <w:r>
        <w:rPr>
          <w:rFonts w:cs="Arial"/>
          <w:sz w:val="18"/>
          <w:szCs w:val="18"/>
        </w:rPr>
        <w:t xml:space="preserve"> </w:t>
      </w:r>
      <w:r w:rsidRPr="00663459">
        <w:rPr>
          <w:rFonts w:ascii="Corbel" w:hAnsi="Corbel" w:cs="Arial"/>
          <w:sz w:val="24"/>
          <w:szCs w:val="24"/>
        </w:rPr>
        <w:t>ou superior, todos com licença e pré-instalados e configurados</w:t>
      </w:r>
    </w:p>
    <w:p w:rsidR="00D51800" w:rsidRDefault="00D51800" w:rsidP="00D51800">
      <w:pPr>
        <w:jc w:val="both"/>
        <w:rPr>
          <w:rFonts w:ascii="Corbel" w:eastAsia="Calibri" w:hAnsi="Corbel" w:cs="Times New Roman"/>
          <w:sz w:val="24"/>
          <w:szCs w:val="24"/>
        </w:rPr>
      </w:pPr>
      <w:r>
        <w:rPr>
          <w:rFonts w:ascii="Corbel" w:eastAsia="Calibri" w:hAnsi="Corbel" w:cs="Times New Roman"/>
          <w:sz w:val="24"/>
          <w:szCs w:val="24"/>
        </w:rPr>
        <w:t>-</w:t>
      </w:r>
      <w:proofErr w:type="gramStart"/>
      <w:r>
        <w:rPr>
          <w:rFonts w:ascii="Corbel" w:eastAsia="Calibri" w:hAnsi="Corbel" w:cs="Times New Roman"/>
          <w:sz w:val="24"/>
          <w:szCs w:val="24"/>
        </w:rPr>
        <w:t>Cor Preto – Teclado Padrão – em Português</w:t>
      </w:r>
      <w:proofErr w:type="gramEnd"/>
      <w:r>
        <w:rPr>
          <w:rFonts w:ascii="Corbel" w:eastAsia="Calibri" w:hAnsi="Corbel" w:cs="Times New Roman"/>
          <w:sz w:val="24"/>
          <w:szCs w:val="24"/>
        </w:rPr>
        <w:t xml:space="preserve"> (ABNT 2).</w:t>
      </w:r>
    </w:p>
    <w:p w:rsidR="00D51800" w:rsidRDefault="00D51800" w:rsidP="00D51800">
      <w:pPr>
        <w:jc w:val="both"/>
        <w:rPr>
          <w:rFonts w:ascii="Corbel" w:eastAsia="Calibri" w:hAnsi="Corbel" w:cs="Times New Roman"/>
          <w:sz w:val="24"/>
          <w:szCs w:val="24"/>
        </w:rPr>
      </w:pPr>
    </w:p>
    <w:p w:rsidR="00D51800" w:rsidRPr="005E1BD5" w:rsidRDefault="00D51800" w:rsidP="00D51800">
      <w:pPr>
        <w:jc w:val="both"/>
        <w:rPr>
          <w:rFonts w:ascii="Corbel" w:eastAsia="Calibri" w:hAnsi="Corbel" w:cs="Times New Roman"/>
          <w:b/>
          <w:sz w:val="28"/>
          <w:szCs w:val="28"/>
        </w:rPr>
      </w:pPr>
      <w:r w:rsidRPr="005E1BD5">
        <w:rPr>
          <w:rFonts w:ascii="Corbel" w:eastAsia="Calibri" w:hAnsi="Corbel" w:cs="Times New Roman"/>
          <w:b/>
          <w:sz w:val="28"/>
          <w:szCs w:val="28"/>
        </w:rPr>
        <w:t>Item 02 – Impressora – tipo multifuncional</w:t>
      </w:r>
    </w:p>
    <w:p w:rsidR="00D51800" w:rsidRDefault="00D51800" w:rsidP="00D51800">
      <w:pPr>
        <w:jc w:val="both"/>
        <w:rPr>
          <w:rFonts w:ascii="Corbel" w:eastAsia="Calibri" w:hAnsi="Corbel" w:cs="Times New Roman"/>
          <w:sz w:val="24"/>
          <w:szCs w:val="24"/>
        </w:rPr>
      </w:pPr>
      <w:r>
        <w:rPr>
          <w:rFonts w:ascii="Corbel" w:eastAsia="Calibri" w:hAnsi="Corbel" w:cs="Times New Roman"/>
          <w:sz w:val="24"/>
          <w:szCs w:val="24"/>
        </w:rPr>
        <w:t>-Quantidade – 01 (uma)</w:t>
      </w:r>
    </w:p>
    <w:p w:rsidR="00D51800" w:rsidRDefault="00D51800" w:rsidP="00D51800">
      <w:pPr>
        <w:jc w:val="both"/>
        <w:rPr>
          <w:rFonts w:ascii="Corbel" w:eastAsia="Calibri" w:hAnsi="Corbel" w:cs="Times New Roman"/>
          <w:sz w:val="24"/>
          <w:szCs w:val="24"/>
        </w:rPr>
      </w:pPr>
      <w:r>
        <w:rPr>
          <w:rFonts w:ascii="Corbel" w:eastAsia="Calibri" w:hAnsi="Corbel" w:cs="Times New Roman"/>
          <w:sz w:val="24"/>
          <w:szCs w:val="24"/>
        </w:rPr>
        <w:t>- Situação _ Nova</w:t>
      </w:r>
    </w:p>
    <w:p w:rsidR="00D51800" w:rsidRDefault="00D51800" w:rsidP="00D51800">
      <w:pPr>
        <w:jc w:val="both"/>
        <w:rPr>
          <w:rFonts w:ascii="Corbel" w:eastAsia="Calibri" w:hAnsi="Corbel" w:cs="Times New Roman"/>
          <w:sz w:val="24"/>
          <w:szCs w:val="24"/>
        </w:rPr>
      </w:pPr>
      <w:r>
        <w:rPr>
          <w:rFonts w:ascii="Corbel" w:eastAsia="Calibri" w:hAnsi="Corbel" w:cs="Times New Roman"/>
          <w:sz w:val="24"/>
          <w:szCs w:val="24"/>
        </w:rPr>
        <w:t xml:space="preserve">FUNÇÃO </w:t>
      </w:r>
      <w:r w:rsidRPr="00DA69EE">
        <w:rPr>
          <w:rFonts w:ascii="Corbel" w:eastAsia="Calibri" w:hAnsi="Corbel" w:cs="Times New Roman"/>
          <w:sz w:val="24"/>
          <w:szCs w:val="24"/>
        </w:rPr>
        <w:t xml:space="preserve">Impressão, cópia, digitalização, fax, e-mail                                                                                                                                                                                                   IMPRESSÃO: Laser monocromático, velocidade normal até 38ppm, preto em apenas 6,3 segundos, linguagem HP PCL </w:t>
      </w:r>
      <w:proofErr w:type="gramStart"/>
      <w:r w:rsidRPr="00DA69EE">
        <w:rPr>
          <w:rFonts w:ascii="Corbel" w:eastAsia="Calibri" w:hAnsi="Corbel" w:cs="Times New Roman"/>
          <w:sz w:val="24"/>
          <w:szCs w:val="24"/>
        </w:rPr>
        <w:t>6</w:t>
      </w:r>
      <w:proofErr w:type="gramEnd"/>
      <w:r w:rsidRPr="00DA69EE">
        <w:rPr>
          <w:rFonts w:ascii="Corbel" w:eastAsia="Calibri" w:hAnsi="Corbel" w:cs="Times New Roman"/>
          <w:sz w:val="24"/>
          <w:szCs w:val="24"/>
        </w:rPr>
        <w:t xml:space="preserve"> HP PCL 5c emulação HP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postscript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nível 3PDF URF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native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office PWG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raster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, ciclo mensal máximo até 80000 páginas  duplex frente e verso automático, suprimentos toner HP laser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jet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58A preto(3000 páginas) CF258A toner HP laser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jet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58X preto (10000</w:t>
      </w:r>
      <w:r>
        <w:rPr>
          <w:rFonts w:ascii="Corbel" w:eastAsia="Calibri" w:hAnsi="Corbel" w:cs="Times New Roman"/>
          <w:sz w:val="24"/>
          <w:szCs w:val="24"/>
        </w:rPr>
        <w:t xml:space="preserve"> </w:t>
      </w:r>
      <w:r w:rsidRPr="00DA69EE">
        <w:rPr>
          <w:rFonts w:ascii="Corbel" w:eastAsia="Calibri" w:hAnsi="Corbel" w:cs="Times New Roman"/>
          <w:sz w:val="24"/>
          <w:szCs w:val="24"/>
        </w:rPr>
        <w:t xml:space="preserve">páginas) CF258X. </w:t>
      </w:r>
    </w:p>
    <w:p w:rsidR="00D51800" w:rsidRDefault="00D51800" w:rsidP="00D51800">
      <w:pPr>
        <w:jc w:val="both"/>
        <w:rPr>
          <w:rFonts w:ascii="Corbel" w:eastAsia="Calibri" w:hAnsi="Corbel" w:cs="Times New Roman"/>
          <w:sz w:val="24"/>
          <w:szCs w:val="24"/>
        </w:rPr>
      </w:pPr>
      <w:r w:rsidRPr="00DA69EE">
        <w:rPr>
          <w:rFonts w:ascii="Corbel" w:eastAsia="Calibri" w:hAnsi="Corbel" w:cs="Times New Roman"/>
          <w:sz w:val="24"/>
          <w:szCs w:val="24"/>
        </w:rPr>
        <w:lastRenderedPageBreak/>
        <w:t xml:space="preserve"> CÓPIA: velocidade até 38 </w:t>
      </w:r>
      <w:proofErr w:type="spellStart"/>
      <w:proofErr w:type="gramStart"/>
      <w:r w:rsidRPr="00DA69EE">
        <w:rPr>
          <w:rFonts w:ascii="Corbel" w:eastAsia="Calibri" w:hAnsi="Corbel" w:cs="Times New Roman"/>
          <w:sz w:val="24"/>
          <w:szCs w:val="24"/>
        </w:rPr>
        <w:t>cpm</w:t>
      </w:r>
      <w:proofErr w:type="spellEnd"/>
      <w:proofErr w:type="gramEnd"/>
      <w:r w:rsidRPr="00DA69EE">
        <w:rPr>
          <w:rFonts w:ascii="Corbel" w:eastAsia="Calibri" w:hAnsi="Corbel" w:cs="Times New Roman"/>
          <w:sz w:val="24"/>
          <w:szCs w:val="24"/>
        </w:rPr>
        <w:t xml:space="preserve"> em A4 , resolução até 600X600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dpi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, redução/ampliação de 25 até 400%, cópias múltiplas até 999, área de cópia até 215.9x 355.6 mm, duplex frente e verso                                                                                                       DIGITALIZAÇÃO: tipo de scanner base plana, alimentador automático de documentos(ADF), velocidade até 29ppm/46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ipm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, resolução até 1200x1200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dpi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, área de digitalização até A4 (210X297 mm) ADF até 216X356 mm, capacidade digitalização  via HP laser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jet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scan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, HP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director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, ou software  em conformidade com TWAIN ou WIA, duplex frente e verso, a partir do ADF; Aperfeiçoar texto/imagem; Resolução de digitalização selecionável de 75 a 300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dpi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, destino de digitalização e-mail, imagem, OCR, File, FTP, USB, Network Folder,, E-mail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Sever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, Sharepoint, SSH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Sever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(SFTP),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Cloud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Easy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Scan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to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e-mail.                                                                                                                                                                  GERAL: Painel botões no painel </w:t>
      </w:r>
      <w:proofErr w:type="gramStart"/>
      <w:r w:rsidRPr="00DA69EE">
        <w:rPr>
          <w:rFonts w:ascii="Corbel" w:eastAsia="Calibri" w:hAnsi="Corbel" w:cs="Times New Roman"/>
          <w:sz w:val="24"/>
          <w:szCs w:val="24"/>
        </w:rPr>
        <w:t>frontal ,</w:t>
      </w:r>
      <w:proofErr w:type="gramEnd"/>
      <w:r w:rsidRPr="00DA69EE">
        <w:rPr>
          <w:rFonts w:ascii="Corbel" w:eastAsia="Calibri" w:hAnsi="Corbel" w:cs="Times New Roman"/>
          <w:sz w:val="24"/>
          <w:szCs w:val="24"/>
        </w:rPr>
        <w:t xml:space="preserve"> processador 1200MHz , memória 512 MB, conexão 1 porta USB host traseira 1 porta USB frontal rede gigabit ethernet LAN 10/100/1000BASE-T Rádio </w:t>
      </w:r>
      <w:proofErr w:type="spellStart"/>
      <w:r w:rsidRPr="00DA69EE">
        <w:rPr>
          <w:rFonts w:ascii="Corbel" w:eastAsia="Calibri" w:hAnsi="Corbel" w:cs="Times New Roman"/>
          <w:sz w:val="24"/>
          <w:szCs w:val="24"/>
        </w:rPr>
        <w:t>Wi-fi</w:t>
      </w:r>
      <w:proofErr w:type="spellEnd"/>
      <w:r w:rsidRPr="00DA69EE">
        <w:rPr>
          <w:rFonts w:ascii="Corbel" w:eastAsia="Calibri" w:hAnsi="Corbel" w:cs="Times New Roman"/>
          <w:sz w:val="24"/>
          <w:szCs w:val="24"/>
        </w:rPr>
        <w:t xml:space="preserve"> 802.11b/n/2,4 GHz/5 GHz, voltagem 110 a 127V, Temperatura de funcionamento 10a 32,5ºC.</w:t>
      </w:r>
      <w:r w:rsidRPr="00937CB8">
        <w:rPr>
          <w:rFonts w:ascii="Corbel" w:eastAsia="Calibri" w:hAnsi="Corbel" w:cs="Times New Roman"/>
          <w:sz w:val="24"/>
          <w:szCs w:val="24"/>
        </w:rPr>
        <w:t xml:space="preserve">     </w:t>
      </w:r>
      <w:r>
        <w:rPr>
          <w:rFonts w:ascii="Corbel" w:eastAsia="Calibri" w:hAnsi="Corbel" w:cs="Times New Roman"/>
          <w:sz w:val="24"/>
          <w:szCs w:val="24"/>
        </w:rPr>
        <w:t xml:space="preserve">Entregue com dois </w:t>
      </w:r>
      <w:proofErr w:type="spellStart"/>
      <w:r>
        <w:rPr>
          <w:rFonts w:ascii="Corbel" w:eastAsia="Calibri" w:hAnsi="Corbel" w:cs="Times New Roman"/>
          <w:sz w:val="24"/>
          <w:szCs w:val="24"/>
        </w:rPr>
        <w:t>torners</w:t>
      </w:r>
      <w:proofErr w:type="spellEnd"/>
      <w:r>
        <w:rPr>
          <w:rFonts w:ascii="Corbel" w:eastAsia="Calibri" w:hAnsi="Corbel" w:cs="Times New Roman"/>
          <w:sz w:val="24"/>
          <w:szCs w:val="24"/>
        </w:rPr>
        <w:t xml:space="preserve"> (sendo um </w:t>
      </w:r>
      <w:proofErr w:type="spellStart"/>
      <w:r>
        <w:rPr>
          <w:rFonts w:ascii="Corbel" w:eastAsia="Calibri" w:hAnsi="Corbel" w:cs="Times New Roman"/>
          <w:sz w:val="24"/>
          <w:szCs w:val="24"/>
        </w:rPr>
        <w:t>pre-instalado</w:t>
      </w:r>
      <w:proofErr w:type="spellEnd"/>
      <w:proofErr w:type="gramStart"/>
      <w:r>
        <w:rPr>
          <w:rFonts w:ascii="Corbel" w:eastAsia="Calibri" w:hAnsi="Corbel" w:cs="Times New Roman"/>
          <w:sz w:val="24"/>
          <w:szCs w:val="24"/>
        </w:rPr>
        <w:t>) .</w:t>
      </w:r>
      <w:proofErr w:type="gramEnd"/>
      <w:r w:rsidRPr="00937CB8">
        <w:rPr>
          <w:rFonts w:ascii="Corbel" w:eastAsia="Calibri" w:hAnsi="Corbel" w:cs="Times New Roman"/>
          <w:sz w:val="24"/>
          <w:szCs w:val="24"/>
        </w:rPr>
        <w:t xml:space="preserve">    </w:t>
      </w:r>
      <w:r>
        <w:rPr>
          <w:rFonts w:ascii="Corbel" w:eastAsia="Calibri" w:hAnsi="Corbel" w:cs="Times New Roman"/>
          <w:sz w:val="24"/>
          <w:szCs w:val="24"/>
        </w:rPr>
        <w:t xml:space="preserve">Outro equipamento que atenda com capacidades maiores, dentro da mesma faixa de valores, será aceito. </w:t>
      </w:r>
      <w:r w:rsidRPr="00937CB8">
        <w:rPr>
          <w:rFonts w:ascii="Corbel" w:eastAsia="Calibri" w:hAnsi="Corbel" w:cs="Times New Roman"/>
          <w:sz w:val="24"/>
          <w:szCs w:val="24"/>
        </w:rPr>
        <w:t xml:space="preserve">    </w:t>
      </w:r>
    </w:p>
    <w:p w:rsidR="00D51800" w:rsidRPr="00A32B0E" w:rsidRDefault="00D51800" w:rsidP="00D51800">
      <w:pPr>
        <w:spacing w:before="120" w:after="120" w:line="320" w:lineRule="atLeast"/>
        <w:ind w:right="198"/>
        <w:jc w:val="both"/>
        <w:rPr>
          <w:rFonts w:ascii="Corbel" w:eastAsia="Times New Roman" w:hAnsi="Corbel" w:cs="Times New Roman"/>
          <w:sz w:val="24"/>
          <w:szCs w:val="24"/>
          <w:lang w:eastAsia="x-none"/>
        </w:rPr>
      </w:pPr>
      <w:r w:rsidRPr="00A32B0E">
        <w:rPr>
          <w:rFonts w:ascii="Arial" w:eastAsia="Times New Roman" w:hAnsi="Arial" w:cs="Times New Roman"/>
          <w:b/>
          <w:szCs w:val="20"/>
          <w:lang w:val="x-none" w:eastAsia="x-none"/>
        </w:rPr>
        <w:t>Critério de seleção</w:t>
      </w:r>
      <w:r w:rsidRPr="00A32B0E">
        <w:rPr>
          <w:rFonts w:ascii="Arial" w:eastAsia="Times New Roman" w:hAnsi="Arial" w:cs="Times New Roman"/>
          <w:szCs w:val="20"/>
          <w:lang w:val="x-none" w:eastAsia="x-none"/>
        </w:rPr>
        <w:t xml:space="preserve">: o critério de seleção da proposta mais vantajosa será o </w:t>
      </w:r>
      <w:r w:rsidRPr="00A32B0E">
        <w:rPr>
          <w:rFonts w:ascii="Arial" w:eastAsia="Times New Roman" w:hAnsi="Arial" w:cs="Times New Roman"/>
          <w:b/>
          <w:szCs w:val="20"/>
          <w:lang w:val="x-none" w:eastAsia="x-none"/>
        </w:rPr>
        <w:t xml:space="preserve">menor </w:t>
      </w:r>
      <w:r w:rsidRPr="00A32B0E">
        <w:rPr>
          <w:rFonts w:ascii="Corbel" w:eastAsia="Times New Roman" w:hAnsi="Corbel" w:cs="Times New Roman"/>
          <w:b/>
          <w:sz w:val="24"/>
          <w:szCs w:val="24"/>
          <w:lang w:val="x-none" w:eastAsia="x-none"/>
        </w:rPr>
        <w:t xml:space="preserve">preço por </w:t>
      </w:r>
      <w:r>
        <w:rPr>
          <w:rFonts w:ascii="Corbel" w:eastAsia="Times New Roman" w:hAnsi="Corbel" w:cs="Times New Roman"/>
          <w:b/>
          <w:sz w:val="24"/>
          <w:szCs w:val="24"/>
          <w:lang w:eastAsia="x-none"/>
        </w:rPr>
        <w:t>item</w:t>
      </w:r>
      <w:r w:rsidRPr="00A32B0E">
        <w:rPr>
          <w:rFonts w:ascii="Corbel" w:eastAsia="Times New Roman" w:hAnsi="Corbel" w:cs="Times New Roman"/>
          <w:sz w:val="24"/>
          <w:szCs w:val="24"/>
          <w:lang w:val="x-none" w:eastAsia="x-none"/>
        </w:rPr>
        <w:t xml:space="preserve">, </w:t>
      </w:r>
      <w:r w:rsidRPr="00A32B0E">
        <w:rPr>
          <w:rFonts w:ascii="Corbel" w:eastAsia="Times New Roman" w:hAnsi="Corbel" w:cs="Times New Roman"/>
          <w:sz w:val="24"/>
          <w:szCs w:val="24"/>
          <w:lang w:eastAsia="x-none"/>
        </w:rPr>
        <w:t xml:space="preserve">e a participação é </w:t>
      </w:r>
      <w:r>
        <w:rPr>
          <w:rFonts w:ascii="Corbel" w:eastAsia="Times New Roman" w:hAnsi="Corbel" w:cs="Times New Roman"/>
          <w:sz w:val="24"/>
          <w:szCs w:val="24"/>
          <w:lang w:eastAsia="x-none"/>
        </w:rPr>
        <w:t xml:space="preserve">aberta às empresas do ramo e também </w:t>
      </w:r>
      <w:r w:rsidRPr="00A32B0E">
        <w:rPr>
          <w:rFonts w:ascii="Corbel" w:eastAsia="Times New Roman" w:hAnsi="Corbel" w:cs="Times New Roman"/>
          <w:sz w:val="24"/>
          <w:szCs w:val="24"/>
          <w:lang w:eastAsia="x-none"/>
        </w:rPr>
        <w:t xml:space="preserve"> para</w:t>
      </w:r>
      <w:r w:rsidRPr="00A32B0E">
        <w:rPr>
          <w:rFonts w:ascii="Corbel" w:eastAsia="Times New Roman" w:hAnsi="Corbel" w:cs="Times New Roman"/>
          <w:sz w:val="24"/>
          <w:szCs w:val="24"/>
          <w:lang w:val="x-none" w:eastAsia="x-none"/>
        </w:rPr>
        <w:t xml:space="preserve"> empresas qualificadas como microempresa, empresa de pequeno </w:t>
      </w:r>
      <w:r w:rsidRPr="00A32B0E">
        <w:rPr>
          <w:rFonts w:ascii="Corbel" w:eastAsia="Times New Roman" w:hAnsi="Corbel" w:cs="Times New Roman"/>
          <w:sz w:val="24"/>
          <w:szCs w:val="24"/>
          <w:lang w:eastAsia="x-none"/>
        </w:rPr>
        <w:t>porte</w:t>
      </w:r>
      <w:r w:rsidRPr="00A32B0E">
        <w:rPr>
          <w:rFonts w:ascii="Corbel" w:eastAsia="Times New Roman" w:hAnsi="Corbel" w:cs="Times New Roman"/>
          <w:sz w:val="24"/>
          <w:szCs w:val="24"/>
          <w:lang w:val="x-none" w:eastAsia="x-none"/>
        </w:rPr>
        <w:t xml:space="preserve"> ou equiparadas, na forma como determina o art. 48, I, da lei Complementar nº 123/2006.</w:t>
      </w:r>
    </w:p>
    <w:p w:rsidR="00D51800" w:rsidRPr="00A32B0E" w:rsidRDefault="00D51800" w:rsidP="00D51800">
      <w:pPr>
        <w:widowControl w:val="0"/>
        <w:spacing w:before="120" w:after="120" w:line="320" w:lineRule="atLeast"/>
        <w:jc w:val="both"/>
        <w:rPr>
          <w:rFonts w:ascii="Corbel" w:eastAsia="Times New Roman" w:hAnsi="Corbel" w:cs="Arial"/>
          <w:sz w:val="24"/>
          <w:szCs w:val="24"/>
          <w:lang w:eastAsia="x-none"/>
        </w:rPr>
      </w:pPr>
      <w:r w:rsidRPr="00A32B0E">
        <w:rPr>
          <w:rFonts w:ascii="Corbel" w:eastAsia="Times New Roman" w:hAnsi="Corbel" w:cs="Times New Roman"/>
          <w:b/>
          <w:sz w:val="24"/>
          <w:szCs w:val="24"/>
          <w:lang w:eastAsia="x-none"/>
        </w:rPr>
        <w:t>Prazo de Fornecimento</w:t>
      </w:r>
      <w:r w:rsidRPr="00A32B0E">
        <w:rPr>
          <w:rFonts w:ascii="Corbel" w:eastAsia="Times New Roman" w:hAnsi="Corbel" w:cs="Times New Roman"/>
          <w:sz w:val="24"/>
          <w:szCs w:val="24"/>
          <w:lang w:val="x-none" w:eastAsia="x-none"/>
        </w:rPr>
        <w:t xml:space="preserve">: </w:t>
      </w:r>
      <w:r w:rsidRPr="00A32B0E">
        <w:rPr>
          <w:rFonts w:ascii="Corbel" w:eastAsia="Times New Roman" w:hAnsi="Corbel" w:cs="Times New Roman"/>
          <w:sz w:val="24"/>
          <w:szCs w:val="24"/>
          <w:lang w:eastAsia="x-none"/>
        </w:rPr>
        <w:t>o fornecimento dos equipamentos deverá ocorrer no prazo máximo de 30 (trinta) dias, a contar do recebimento da autorização de fornecimento</w:t>
      </w:r>
      <w:r w:rsidRPr="00A32B0E">
        <w:rPr>
          <w:rFonts w:ascii="Corbel" w:eastAsia="Times New Roman" w:hAnsi="Corbel" w:cs="Arial"/>
          <w:sz w:val="24"/>
          <w:szCs w:val="24"/>
          <w:lang w:val="x-none" w:eastAsia="x-none"/>
        </w:rPr>
        <w:t>.</w:t>
      </w:r>
    </w:p>
    <w:p w:rsidR="00D51800" w:rsidRPr="00A32B0E" w:rsidRDefault="00D51800" w:rsidP="00D51800">
      <w:pPr>
        <w:widowControl w:val="0"/>
        <w:spacing w:before="120" w:after="120" w:line="320" w:lineRule="atLeast"/>
        <w:jc w:val="both"/>
        <w:rPr>
          <w:rFonts w:ascii="Corbel" w:eastAsia="Times New Roman" w:hAnsi="Corbel" w:cs="Arial"/>
          <w:sz w:val="24"/>
          <w:szCs w:val="24"/>
          <w:lang w:eastAsia="x-none"/>
        </w:rPr>
      </w:pPr>
      <w:r w:rsidRPr="00A32B0E">
        <w:rPr>
          <w:rFonts w:ascii="Corbel" w:eastAsia="Times New Roman" w:hAnsi="Corbel" w:cs="Times New Roman"/>
          <w:b/>
          <w:sz w:val="24"/>
          <w:szCs w:val="24"/>
          <w:lang w:eastAsia="x-none"/>
        </w:rPr>
        <w:t>Garantia</w:t>
      </w:r>
      <w:r w:rsidRPr="00A32B0E">
        <w:rPr>
          <w:rFonts w:ascii="Corbel" w:eastAsia="Times New Roman" w:hAnsi="Corbel" w:cs="Arial"/>
          <w:sz w:val="24"/>
          <w:szCs w:val="24"/>
          <w:lang w:eastAsia="x-none"/>
        </w:rPr>
        <w:t>: todos os equipamentos deverão ter garantia mínima de 12 (doze) meses, prevalecendo, se for o caso, o prazo maior oferecido pelo fabricante.</w:t>
      </w:r>
    </w:p>
    <w:p w:rsidR="00D51800" w:rsidRPr="00A32B0E" w:rsidRDefault="00D51800" w:rsidP="00D51800">
      <w:pPr>
        <w:widowControl w:val="0"/>
        <w:spacing w:before="120" w:after="120" w:line="320" w:lineRule="atLeast"/>
        <w:jc w:val="both"/>
        <w:rPr>
          <w:rFonts w:ascii="Corbel" w:eastAsia="Times New Roman" w:hAnsi="Corbel" w:cs="Arial"/>
          <w:sz w:val="24"/>
          <w:szCs w:val="24"/>
          <w:lang w:val="x-none" w:eastAsia="x-none"/>
        </w:rPr>
      </w:pPr>
      <w:r w:rsidRPr="00A32B0E">
        <w:rPr>
          <w:rFonts w:ascii="Corbel" w:eastAsia="Times New Roman" w:hAnsi="Corbel" w:cs="Arial"/>
          <w:b/>
          <w:sz w:val="24"/>
          <w:szCs w:val="24"/>
          <w:lang w:val="x-none" w:eastAsia="x-none"/>
        </w:rPr>
        <w:t>Critérios de aceitabilidade dos equipamentos/serviços</w:t>
      </w:r>
      <w:r w:rsidRPr="00A32B0E">
        <w:rPr>
          <w:rFonts w:ascii="Corbel" w:eastAsia="Times New Roman" w:hAnsi="Corbel" w:cs="Arial"/>
          <w:sz w:val="24"/>
          <w:szCs w:val="24"/>
          <w:lang w:val="x-none" w:eastAsia="x-none"/>
        </w:rPr>
        <w:t xml:space="preserve">: </w:t>
      </w:r>
      <w:r w:rsidRPr="00A32B0E">
        <w:rPr>
          <w:rFonts w:ascii="Corbel" w:eastAsia="Times New Roman" w:hAnsi="Corbel" w:cs="Arial"/>
          <w:sz w:val="24"/>
          <w:szCs w:val="24"/>
          <w:lang w:eastAsia="x-none"/>
        </w:rPr>
        <w:t>o</w:t>
      </w:r>
      <w:r w:rsidRPr="00A32B0E">
        <w:rPr>
          <w:rFonts w:ascii="Corbel" w:eastAsia="Times New Roman" w:hAnsi="Corbel" w:cs="Arial"/>
          <w:sz w:val="24"/>
          <w:szCs w:val="24"/>
          <w:lang w:val="x-none" w:eastAsia="x-none"/>
        </w:rPr>
        <w:t>s equipamentos deverão ser novos e entregues acondicionados em suas embalagens originais lacradas, conforme praxe do fabricante,</w:t>
      </w:r>
      <w:r w:rsidRPr="00A32B0E">
        <w:rPr>
          <w:rFonts w:ascii="Corbel" w:eastAsia="Times New Roman" w:hAnsi="Corbel" w:cs="Arial"/>
          <w:sz w:val="24"/>
          <w:szCs w:val="24"/>
          <w:lang w:eastAsia="x-none"/>
        </w:rPr>
        <w:t xml:space="preserve"> </w:t>
      </w:r>
      <w:r w:rsidRPr="00A32B0E">
        <w:rPr>
          <w:rFonts w:ascii="Corbel" w:eastAsia="Times New Roman" w:hAnsi="Corbel" w:cs="Arial"/>
          <w:sz w:val="24"/>
          <w:szCs w:val="24"/>
          <w:lang w:val="x-none" w:eastAsia="x-none"/>
        </w:rPr>
        <w:t>de forma a permitir completa segurança quanto a sua originalidade e integridade, com indicação do material contido, data de fabricação, fabricante</w:t>
      </w:r>
      <w:r w:rsidRPr="00A32B0E">
        <w:rPr>
          <w:rFonts w:ascii="Corbel" w:eastAsia="Times New Roman" w:hAnsi="Corbel" w:cs="Arial"/>
          <w:sz w:val="24"/>
          <w:szCs w:val="24"/>
          <w:lang w:eastAsia="x-none"/>
        </w:rPr>
        <w:t xml:space="preserve"> e/ou</w:t>
      </w:r>
      <w:r w:rsidRPr="00A32B0E">
        <w:rPr>
          <w:rFonts w:ascii="Corbel" w:eastAsia="Times New Roman" w:hAnsi="Corbel" w:cs="Arial"/>
          <w:sz w:val="24"/>
          <w:szCs w:val="24"/>
          <w:lang w:val="x-none" w:eastAsia="x-none"/>
        </w:rPr>
        <w:t xml:space="preserve"> importador (se for o caso)</w:t>
      </w:r>
      <w:r w:rsidRPr="00A32B0E">
        <w:rPr>
          <w:rFonts w:ascii="Corbel" w:eastAsia="Times New Roman" w:hAnsi="Corbel" w:cs="Arial"/>
          <w:sz w:val="24"/>
          <w:szCs w:val="24"/>
          <w:lang w:eastAsia="x-none"/>
        </w:rPr>
        <w:t xml:space="preserve"> e a</w:t>
      </w:r>
      <w:r w:rsidRPr="00A32B0E">
        <w:rPr>
          <w:rFonts w:ascii="Corbel" w:eastAsia="Times New Roman" w:hAnsi="Corbel" w:cs="Arial"/>
          <w:sz w:val="24"/>
          <w:szCs w:val="24"/>
          <w:lang w:val="x-none" w:eastAsia="x-none"/>
        </w:rPr>
        <w:t xml:space="preserve"> procedência, bem como demais informações exigidas na legislação em vigor</w:t>
      </w:r>
      <w:r w:rsidRPr="00A32B0E">
        <w:rPr>
          <w:rFonts w:ascii="Corbel" w:eastAsia="Times New Roman" w:hAnsi="Corbel" w:cs="Arial"/>
          <w:sz w:val="24"/>
          <w:szCs w:val="24"/>
          <w:lang w:eastAsia="x-none"/>
        </w:rPr>
        <w:t>, e deverão estar acompanhados de cabos e demais acessórios necessários ao correto funcionamento</w:t>
      </w:r>
      <w:r w:rsidRPr="00A32B0E">
        <w:rPr>
          <w:rFonts w:ascii="Corbel" w:eastAsia="Times New Roman" w:hAnsi="Corbel" w:cs="Arial"/>
          <w:sz w:val="24"/>
          <w:szCs w:val="24"/>
          <w:lang w:val="x-none" w:eastAsia="x-none"/>
        </w:rPr>
        <w:t>.</w:t>
      </w:r>
    </w:p>
    <w:p w:rsidR="00D51800" w:rsidRDefault="00D51800" w:rsidP="00D51800">
      <w:pPr>
        <w:spacing w:before="120" w:after="0" w:line="340" w:lineRule="atLeast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A32B0E">
        <w:rPr>
          <w:rFonts w:ascii="Corbel" w:eastAsia="Times New Roman" w:hAnsi="Corbel" w:cs="Arial"/>
          <w:b/>
          <w:sz w:val="24"/>
          <w:szCs w:val="24"/>
          <w:lang w:eastAsia="pt-BR"/>
        </w:rPr>
        <w:t xml:space="preserve">Do Pagamento: </w:t>
      </w:r>
      <w:r w:rsidRPr="00A32B0E">
        <w:rPr>
          <w:rFonts w:ascii="Corbel" w:eastAsia="Times New Roman" w:hAnsi="Corbel" w:cs="Arial"/>
          <w:sz w:val="24"/>
          <w:szCs w:val="24"/>
          <w:lang w:eastAsia="pt-BR"/>
        </w:rPr>
        <w:t>O pagamento referente ao fornecimento dos equipamentos e acessórios será realizado após a entrega definitiva dos respectivos produtos e realização dos testes que comprovem que estejam em funcionamento, no prazo máximo de 10 (dez) dias após apresentação da nota fiscal e certificação definitiva de entrega.</w:t>
      </w:r>
    </w:p>
    <w:p w:rsidR="00D51800" w:rsidRPr="00A32B0E" w:rsidRDefault="00D51800" w:rsidP="00D51800">
      <w:pPr>
        <w:spacing w:before="120" w:after="0" w:line="340" w:lineRule="atLeast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2 – DO LOCAL DE EXECUÇÃO DOS SERVIÇOS: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2.1 – Os </w:t>
      </w:r>
      <w:r>
        <w:rPr>
          <w:rFonts w:ascii="Corbel" w:eastAsia="Times New Roman" w:hAnsi="Corbel" w:cs="Corbel"/>
          <w:sz w:val="24"/>
          <w:szCs w:val="24"/>
        </w:rPr>
        <w:t>equipamentos serão entregues</w:t>
      </w:r>
      <w:proofErr w:type="gramStart"/>
      <w:r w:rsidRPr="00C61276">
        <w:rPr>
          <w:rFonts w:ascii="Corbel" w:eastAsia="Times New Roman" w:hAnsi="Corbel" w:cs="Corbel"/>
          <w:sz w:val="24"/>
          <w:szCs w:val="24"/>
        </w:rPr>
        <w:t xml:space="preserve"> 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>na sede da Câmara Municipal de Piedade de Ponte Nova, localizada à Rua Professor José Sátiro de Melo, nº. 85, Centro, Piedade de Ponte Nova/</w:t>
      </w:r>
      <w:proofErr w:type="spellStart"/>
      <w:proofErr w:type="gramStart"/>
      <w:r w:rsidRPr="00C61276">
        <w:rPr>
          <w:rFonts w:ascii="Corbel" w:eastAsia="Times New Roman" w:hAnsi="Corbel" w:cs="Corbel"/>
          <w:sz w:val="24"/>
          <w:szCs w:val="24"/>
        </w:rPr>
        <w:t>MG,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>com</w:t>
      </w:r>
      <w:proofErr w:type="spellEnd"/>
      <w:r w:rsidRPr="00C61276">
        <w:rPr>
          <w:rFonts w:ascii="Corbel" w:eastAsia="Times New Roman" w:hAnsi="Corbel" w:cs="Corbel"/>
          <w:sz w:val="24"/>
          <w:szCs w:val="24"/>
        </w:rPr>
        <w:t xml:space="preserve"> assistência e orientação técnica através dos diversos dispositivos, tais como telefone, fax, e-mail, presenciais quando for solicitado, chat e outros legalmente dispostos pelas partes.</w:t>
      </w:r>
    </w:p>
    <w:p w:rsidR="00D51800" w:rsidRPr="00C5440D" w:rsidRDefault="00D51800" w:rsidP="00D51800">
      <w:pPr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937CB8">
        <w:rPr>
          <w:rFonts w:ascii="Corbel" w:eastAsia="Calibri" w:hAnsi="Corbel" w:cs="Times New Roman"/>
          <w:sz w:val="24"/>
          <w:szCs w:val="24"/>
        </w:rPr>
        <w:t xml:space="preserve">                                         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>
        <w:rPr>
          <w:rFonts w:ascii="Corbel" w:eastAsia="Times New Roman" w:hAnsi="Corbel" w:cs="Corbel"/>
          <w:b/>
          <w:bCs/>
          <w:sz w:val="24"/>
          <w:szCs w:val="24"/>
        </w:rPr>
        <w:t>3 – DA FISCALIZAÇÃO</w:t>
      </w:r>
      <w:r w:rsidRPr="00C61276">
        <w:rPr>
          <w:rFonts w:ascii="Corbel" w:eastAsia="Times New Roman" w:hAnsi="Corbel" w:cs="Corbel"/>
          <w:b/>
          <w:bCs/>
          <w:sz w:val="24"/>
          <w:szCs w:val="24"/>
        </w:rPr>
        <w:t>: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3.1 – Compete à administração legislativa o acompanhamento e controle, fiscalização e execução do serviço, bem como sua satisfação para o efetivo pagamento.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4 – DA FORMA DE FATURA E PAGAMENTO: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4.1 – As faturas serão emitidas em reais.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.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5 – DO JULGAMENTO: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5.1 – O julgamento será efetuado pelo </w:t>
      </w: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menor preço </w:t>
      </w:r>
      <w:r>
        <w:rPr>
          <w:rFonts w:ascii="Corbel" w:eastAsia="Times New Roman" w:hAnsi="Corbel" w:cs="Corbel"/>
          <w:b/>
          <w:bCs/>
          <w:sz w:val="24"/>
          <w:szCs w:val="24"/>
        </w:rPr>
        <w:t>por item</w:t>
      </w:r>
      <w:r w:rsidRPr="00C61276">
        <w:rPr>
          <w:rFonts w:ascii="Corbel" w:eastAsia="Times New Roman" w:hAnsi="Corbel" w:cs="Corbel"/>
          <w:sz w:val="24"/>
          <w:szCs w:val="24"/>
        </w:rPr>
        <w:t>.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proofErr w:type="gramStart"/>
      <w:r w:rsidRPr="00C61276">
        <w:rPr>
          <w:rFonts w:ascii="Corbel" w:eastAsia="Times New Roman" w:hAnsi="Corbel" w:cs="Corbel"/>
          <w:b/>
          <w:bCs/>
          <w:sz w:val="24"/>
          <w:szCs w:val="24"/>
        </w:rPr>
        <w:t>6 – DOTAÇÃO</w:t>
      </w:r>
      <w:proofErr w:type="gramEnd"/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ORÇAMENTÁRIA E VALOR ESTIMADO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6.1 – Os recursos financeiros são os constantes da Dotação Orçamentária nº. </w:t>
      </w:r>
      <w:proofErr w:type="gramStart"/>
      <w:r>
        <w:rPr>
          <w:rFonts w:ascii="Corbel" w:eastAsia="Times New Roman" w:hAnsi="Corbel" w:cs="Corbel"/>
          <w:sz w:val="24"/>
          <w:szCs w:val="24"/>
        </w:rPr>
        <w:t>3.001 – AQUISIÇÃO</w:t>
      </w:r>
      <w:proofErr w:type="gramEnd"/>
      <w:r>
        <w:rPr>
          <w:rFonts w:ascii="Corbel" w:eastAsia="Times New Roman" w:hAnsi="Corbel" w:cs="Corbel"/>
          <w:sz w:val="24"/>
          <w:szCs w:val="24"/>
        </w:rPr>
        <w:t xml:space="preserve"> DE EQUIPAMENTOS E MATERIAL PERMANENTE – 449052 – Equipamento e Material Permanente – Ficha 001 - </w:t>
      </w:r>
      <w:r>
        <w:rPr>
          <w:rFonts w:ascii="Corbel" w:hAnsi="Corbel" w:cs="Arial"/>
          <w:sz w:val="24"/>
          <w:szCs w:val="24"/>
        </w:rPr>
        <w:t xml:space="preserve">  Lei Complementar nº 059/2021.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7 – DAS DEMAIS CONDIÇÕES: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7.1 – Este processo é regido pelos termos contidos no edital, pelas Leis Federais nº </w:t>
      </w:r>
      <w:r>
        <w:rPr>
          <w:rFonts w:ascii="Corbel" w:eastAsia="Times New Roman" w:hAnsi="Corbel" w:cs="Corbel"/>
          <w:sz w:val="24"/>
          <w:szCs w:val="24"/>
        </w:rPr>
        <w:t>14.133 de 2021</w:t>
      </w:r>
      <w:proofErr w:type="gramStart"/>
      <w:r>
        <w:rPr>
          <w:rFonts w:ascii="Corbel" w:eastAsia="Times New Roman" w:hAnsi="Corbel" w:cs="Corbel"/>
          <w:sz w:val="24"/>
          <w:szCs w:val="24"/>
        </w:rPr>
        <w:t xml:space="preserve"> </w:t>
      </w:r>
      <w:r w:rsidRPr="00C61276">
        <w:rPr>
          <w:rFonts w:ascii="Corbel" w:eastAsia="Times New Roman" w:hAnsi="Corbel" w:cs="Corbel"/>
          <w:sz w:val="24"/>
          <w:szCs w:val="24"/>
        </w:rPr>
        <w:t xml:space="preserve">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>demais leis esparsas aplicadas à espécie.</w:t>
      </w: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D51800" w:rsidRPr="00C61276" w:rsidRDefault="00D51800" w:rsidP="00D5180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Piedade de Ponte Nova– MG, </w:t>
      </w:r>
      <w:r>
        <w:rPr>
          <w:rFonts w:ascii="Corbel" w:eastAsia="Times New Roman" w:hAnsi="Corbel" w:cs="Corbel"/>
          <w:sz w:val="24"/>
          <w:szCs w:val="24"/>
        </w:rPr>
        <w:t xml:space="preserve">13 de abril de </w:t>
      </w:r>
      <w:proofErr w:type="gramStart"/>
      <w:r>
        <w:rPr>
          <w:rFonts w:ascii="Corbel" w:eastAsia="Times New Roman" w:hAnsi="Corbel" w:cs="Corbel"/>
          <w:sz w:val="24"/>
          <w:szCs w:val="24"/>
        </w:rPr>
        <w:t>2022</w:t>
      </w:r>
      <w:proofErr w:type="gramEnd"/>
    </w:p>
    <w:p w:rsidR="00D51800" w:rsidRPr="00C61276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________________________________</w:t>
      </w:r>
      <w:r w:rsidRPr="00C61276">
        <w:rPr>
          <w:rFonts w:ascii="Corbel" w:eastAsia="Times New Roman" w:hAnsi="Corbel" w:cs="Corbel"/>
          <w:sz w:val="24"/>
          <w:szCs w:val="24"/>
        </w:rPr>
        <w:br/>
      </w:r>
      <w:r w:rsidRPr="00C61276">
        <w:rPr>
          <w:rFonts w:ascii="Corbel" w:eastAsia="Arial Unicode MS" w:hAnsi="Corbel" w:cs="Corbel"/>
          <w:sz w:val="24"/>
          <w:szCs w:val="24"/>
        </w:rPr>
        <w:t>Maria Aparecida Brum da Silveira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 xml:space="preserve">Servidor Designado 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bookmarkStart w:id="0" w:name="_GoBack"/>
      <w:bookmarkEnd w:id="0"/>
      <w:r>
        <w:rPr>
          <w:rFonts w:ascii="Corbel" w:eastAsia="Times New Roman" w:hAnsi="Corbel" w:cs="Corbel"/>
          <w:sz w:val="24"/>
          <w:szCs w:val="24"/>
        </w:rPr>
        <w:t>ANEXO II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PLANILHA DE PREÇOS/ORÇAMENTOS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tbl>
      <w:tblPr>
        <w:tblStyle w:val="Tabelacomgrade"/>
        <w:tblW w:w="56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5300"/>
        <w:gridCol w:w="548"/>
        <w:gridCol w:w="956"/>
        <w:gridCol w:w="990"/>
      </w:tblGrid>
      <w:tr w:rsidR="00D51800" w:rsidTr="00B16A13">
        <w:tc>
          <w:tcPr>
            <w:tcW w:w="357" w:type="pct"/>
          </w:tcPr>
          <w:p w:rsidR="00D51800" w:rsidRDefault="00D51800" w:rsidP="00B16A13">
            <w:pPr>
              <w:jc w:val="center"/>
              <w:rPr>
                <w:rFonts w:ascii="Corbel" w:eastAsia="Times New Roman" w:hAnsi="Corbel" w:cs="Corbel"/>
                <w:sz w:val="24"/>
                <w:szCs w:val="24"/>
              </w:rPr>
            </w:pPr>
            <w:r>
              <w:rPr>
                <w:rFonts w:ascii="Corbel" w:eastAsia="Times New Roman" w:hAnsi="Corbel" w:cs="Corbel"/>
                <w:sz w:val="24"/>
                <w:szCs w:val="24"/>
              </w:rPr>
              <w:t>Itens</w:t>
            </w:r>
          </w:p>
        </w:tc>
        <w:tc>
          <w:tcPr>
            <w:tcW w:w="715" w:type="pct"/>
          </w:tcPr>
          <w:p w:rsidR="00D51800" w:rsidRDefault="00D51800" w:rsidP="00B16A13">
            <w:pPr>
              <w:jc w:val="center"/>
              <w:rPr>
                <w:rFonts w:ascii="Corbel" w:eastAsia="Times New Roman" w:hAnsi="Corbel" w:cs="Corbel"/>
                <w:sz w:val="24"/>
                <w:szCs w:val="24"/>
              </w:rPr>
            </w:pPr>
            <w:r>
              <w:rPr>
                <w:rFonts w:ascii="Corbel" w:eastAsia="Times New Roman" w:hAnsi="Corbel" w:cs="Corbel"/>
                <w:sz w:val="24"/>
                <w:szCs w:val="24"/>
              </w:rPr>
              <w:t>Objetos</w:t>
            </w:r>
          </w:p>
        </w:tc>
        <w:tc>
          <w:tcPr>
            <w:tcW w:w="2671" w:type="pct"/>
          </w:tcPr>
          <w:p w:rsidR="00D51800" w:rsidRDefault="00D51800" w:rsidP="00B16A13">
            <w:pPr>
              <w:jc w:val="center"/>
              <w:rPr>
                <w:rFonts w:ascii="Corbel" w:eastAsia="Times New Roman" w:hAnsi="Corbel" w:cs="Corbel"/>
                <w:sz w:val="24"/>
                <w:szCs w:val="24"/>
              </w:rPr>
            </w:pPr>
            <w:r>
              <w:rPr>
                <w:rFonts w:ascii="Corbel" w:eastAsia="Times New Roman" w:hAnsi="Corbel" w:cs="Corbel"/>
                <w:sz w:val="24"/>
                <w:szCs w:val="24"/>
              </w:rPr>
              <w:t>Descrição Mínima</w:t>
            </w:r>
          </w:p>
        </w:tc>
        <w:tc>
          <w:tcPr>
            <w:tcW w:w="276" w:type="pct"/>
          </w:tcPr>
          <w:p w:rsidR="00D51800" w:rsidRDefault="00D51800" w:rsidP="00B16A13">
            <w:pPr>
              <w:jc w:val="center"/>
              <w:rPr>
                <w:rFonts w:ascii="Corbel" w:eastAsia="Times New Roman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Times New Roman" w:hAnsi="Corbel" w:cs="Corbel"/>
                <w:sz w:val="24"/>
                <w:szCs w:val="24"/>
              </w:rPr>
              <w:t>Qt</w:t>
            </w:r>
            <w:proofErr w:type="spellEnd"/>
          </w:p>
        </w:tc>
        <w:tc>
          <w:tcPr>
            <w:tcW w:w="482" w:type="pct"/>
          </w:tcPr>
          <w:p w:rsidR="00D51800" w:rsidRDefault="00D51800" w:rsidP="00B16A13">
            <w:pPr>
              <w:jc w:val="center"/>
              <w:rPr>
                <w:rFonts w:ascii="Corbel" w:eastAsia="Times New Roman" w:hAnsi="Corbel" w:cs="Corbel"/>
                <w:sz w:val="24"/>
                <w:szCs w:val="24"/>
              </w:rPr>
            </w:pPr>
            <w:r>
              <w:rPr>
                <w:rFonts w:ascii="Corbel" w:eastAsia="Times New Roman" w:hAnsi="Corbel" w:cs="Corbel"/>
                <w:sz w:val="24"/>
                <w:szCs w:val="24"/>
              </w:rPr>
              <w:t>Valor unitário</w:t>
            </w:r>
          </w:p>
        </w:tc>
        <w:tc>
          <w:tcPr>
            <w:tcW w:w="499" w:type="pct"/>
          </w:tcPr>
          <w:p w:rsidR="00D51800" w:rsidRDefault="00D51800" w:rsidP="00B16A13">
            <w:pPr>
              <w:jc w:val="center"/>
              <w:rPr>
                <w:rFonts w:ascii="Corbel" w:eastAsia="Times New Roman" w:hAnsi="Corbel" w:cs="Corbel"/>
                <w:sz w:val="24"/>
                <w:szCs w:val="24"/>
              </w:rPr>
            </w:pPr>
            <w:r>
              <w:rPr>
                <w:rFonts w:ascii="Corbel" w:eastAsia="Times New Roman" w:hAnsi="Corbel" w:cs="Corbel"/>
                <w:sz w:val="24"/>
                <w:szCs w:val="24"/>
              </w:rPr>
              <w:t>Valor Global</w:t>
            </w:r>
          </w:p>
        </w:tc>
      </w:tr>
      <w:tr w:rsidR="00D51800" w:rsidTr="00B16A13">
        <w:tc>
          <w:tcPr>
            <w:tcW w:w="357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  <w:r w:rsidRPr="00A17EFF">
              <w:rPr>
                <w:rFonts w:ascii="Corbel" w:eastAsia="Times New Roman" w:hAnsi="Corbel" w:cs="Corbel"/>
                <w:sz w:val="18"/>
                <w:szCs w:val="18"/>
              </w:rPr>
              <w:t>01</w:t>
            </w:r>
          </w:p>
        </w:tc>
        <w:tc>
          <w:tcPr>
            <w:tcW w:w="715" w:type="pct"/>
          </w:tcPr>
          <w:p w:rsidR="00D51800" w:rsidRPr="00A17EFF" w:rsidRDefault="00D51800" w:rsidP="00B16A13">
            <w:pPr>
              <w:jc w:val="both"/>
              <w:rPr>
                <w:rFonts w:ascii="Corbel" w:eastAsia="Calibri" w:hAnsi="Corbel" w:cs="Times New Roman"/>
                <w:sz w:val="18"/>
                <w:szCs w:val="18"/>
              </w:rPr>
            </w:pPr>
            <w:r>
              <w:rPr>
                <w:rFonts w:ascii="Corbel" w:eastAsia="Calibri" w:hAnsi="Corbel" w:cs="Times New Roman"/>
                <w:sz w:val="18"/>
                <w:szCs w:val="18"/>
              </w:rPr>
              <w:t>Notebooks</w:t>
            </w:r>
          </w:p>
        </w:tc>
        <w:tc>
          <w:tcPr>
            <w:tcW w:w="2671" w:type="pct"/>
          </w:tcPr>
          <w:p w:rsidR="00D51800" w:rsidRPr="00A17EFF" w:rsidRDefault="00D51800" w:rsidP="00B16A13">
            <w:pPr>
              <w:jc w:val="both"/>
              <w:rPr>
                <w:rFonts w:ascii="Corbel" w:eastAsia="Times New Roman" w:hAnsi="Corbel" w:cs="Corbel"/>
                <w:sz w:val="18"/>
                <w:szCs w:val="18"/>
              </w:rPr>
            </w:pPr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Descrição: PROCESSADOR: 11ª geração de Intel Core i7-1165g7 (4-core, cache de 12MB, até 4.7GHz) SISTEMA OPERACIONAL: Windows 11 Home Single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Language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, Português                                                                                                                               PLACA DE VÍDEO: Intel Iris Xe com memória gráfica compartilhada                                                                                                 MEMÓRIA: 8GB (</w:t>
            </w:r>
            <w:proofErr w:type="gram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2x4GB</w:t>
            </w:r>
            <w:proofErr w:type="gram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), DDR4, 2666MHz; Expansível até 16GB (2 slots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soDIMM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).   Armazenamento: </w:t>
            </w:r>
            <w:proofErr w:type="gram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SSDde256GB</w:t>
            </w:r>
            <w:proofErr w:type="gram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PCle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NVMe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M.2 . </w:t>
            </w:r>
            <w:proofErr w:type="gram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Tela HD 15,6 (1366x768) - </w:t>
            </w:r>
            <w:r w:rsidRPr="00A17EFF">
              <w:rPr>
                <w:rFonts w:ascii="Corbel" w:hAnsi="Corbel" w:cs="Arial"/>
                <w:sz w:val="18"/>
                <w:szCs w:val="18"/>
              </w:rPr>
              <w:t>)</w:t>
            </w:r>
            <w:proofErr w:type="gramEnd"/>
            <w:r w:rsidRPr="00A17EFF">
              <w:rPr>
                <w:rFonts w:ascii="Corbel" w:hAnsi="Corbel" w:cs="Arial"/>
                <w:sz w:val="18"/>
                <w:szCs w:val="18"/>
              </w:rPr>
              <w:t xml:space="preserve"> ou superior, todos com licença e pré-instalados e configurados</w:t>
            </w:r>
            <w:r>
              <w:rPr>
                <w:rFonts w:ascii="Corbel" w:hAnsi="Corbel" w:cs="Arial"/>
                <w:sz w:val="18"/>
                <w:szCs w:val="18"/>
              </w:rPr>
              <w:t xml:space="preserve"> - </w:t>
            </w:r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-Cor Preto – Teclado Padrão – em Português (ABNT 2).</w:t>
            </w:r>
          </w:p>
        </w:tc>
        <w:tc>
          <w:tcPr>
            <w:tcW w:w="276" w:type="pct"/>
          </w:tcPr>
          <w:p w:rsidR="00D51800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</w:p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  <w:r>
              <w:rPr>
                <w:rFonts w:ascii="Corbel" w:eastAsia="Times New Roman" w:hAnsi="Corbel" w:cs="Corbel"/>
                <w:sz w:val="18"/>
                <w:szCs w:val="18"/>
              </w:rPr>
              <w:t>02</w:t>
            </w:r>
          </w:p>
        </w:tc>
        <w:tc>
          <w:tcPr>
            <w:tcW w:w="482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</w:p>
        </w:tc>
        <w:tc>
          <w:tcPr>
            <w:tcW w:w="499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</w:p>
        </w:tc>
      </w:tr>
      <w:tr w:rsidR="00D51800" w:rsidTr="00B16A13">
        <w:tc>
          <w:tcPr>
            <w:tcW w:w="357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  <w:r w:rsidRPr="00A17EFF">
              <w:rPr>
                <w:rFonts w:ascii="Corbel" w:eastAsia="Times New Roman" w:hAnsi="Corbel" w:cs="Corbel"/>
                <w:sz w:val="18"/>
                <w:szCs w:val="18"/>
              </w:rPr>
              <w:t>02</w:t>
            </w:r>
          </w:p>
        </w:tc>
        <w:tc>
          <w:tcPr>
            <w:tcW w:w="715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  <w:r>
              <w:rPr>
                <w:rFonts w:ascii="Corbel" w:eastAsia="Times New Roman" w:hAnsi="Corbel" w:cs="Corbel"/>
                <w:sz w:val="18"/>
                <w:szCs w:val="18"/>
              </w:rPr>
              <w:t>Impressora Multifuncional</w:t>
            </w:r>
          </w:p>
        </w:tc>
        <w:tc>
          <w:tcPr>
            <w:tcW w:w="2671" w:type="pct"/>
          </w:tcPr>
          <w:p w:rsidR="00D51800" w:rsidRPr="00A17EFF" w:rsidRDefault="00D51800" w:rsidP="00B16A13">
            <w:pPr>
              <w:jc w:val="both"/>
              <w:rPr>
                <w:rFonts w:ascii="Corbel" w:eastAsia="Calibri" w:hAnsi="Corbel" w:cs="Times New Roman"/>
                <w:sz w:val="18"/>
                <w:szCs w:val="18"/>
              </w:rPr>
            </w:pPr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FUNÇÃO Impressão, cópia, digitalização, fax, e-mail                                                                                                                                                                                                   IMPRESSÃO: Laser monocromático, velocidade normal até 38ppm, preto em apenas 6,3 segundos, linguagem HP PCL </w:t>
            </w:r>
            <w:proofErr w:type="gram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6</w:t>
            </w:r>
            <w:proofErr w:type="gram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HP PCL 5c emulação HP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postscript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nível 3PDF URF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native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office PWG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raster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, ciclo mensal máximo até 80000 páginas  duplex frente e verso automático, suprimentos toner HP laser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jet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58A preto(3000 páginas) CF258A toner HP laser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jet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58X preto (10000 páginas) CF258X. </w:t>
            </w:r>
          </w:p>
          <w:p w:rsidR="00D51800" w:rsidRPr="00A17EFF" w:rsidRDefault="00D51800" w:rsidP="00B16A13">
            <w:pPr>
              <w:jc w:val="both"/>
              <w:rPr>
                <w:rFonts w:ascii="Corbel" w:eastAsia="Times New Roman" w:hAnsi="Corbel" w:cs="Corbel"/>
                <w:sz w:val="18"/>
                <w:szCs w:val="18"/>
              </w:rPr>
            </w:pPr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CÓPIA: velocidade até 38 </w:t>
            </w:r>
            <w:proofErr w:type="spellStart"/>
            <w:proofErr w:type="gram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cpm</w:t>
            </w:r>
            <w:proofErr w:type="spellEnd"/>
            <w:proofErr w:type="gram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em A4 , resolução até 600X600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dpi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, redução/ampliação de 25 até 400%, cópias múltiplas até 999, área de cópia até 215.9x 355.6 mm, duplex frente e verso                                                                                                       DIGITALIZAÇÃO: tipo de scanner base plana, alimentador automático de documentos(ADF), velocidade até 29ppm/46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ipm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, resolução até 1200x1200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dpi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, área de digitalização até A4 (210X297 mm) ADF até 216X356 mm, capacidade digitalização  via HP laser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jet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scan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, HP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director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, ou software  em conformidade com TWAIN ou WIA, duplex frente</w:t>
            </w:r>
            <w:r w:rsidRPr="00DA69EE">
              <w:rPr>
                <w:rFonts w:ascii="Corbel" w:eastAsia="Calibri" w:hAnsi="Corbel" w:cs="Times New Roman"/>
                <w:sz w:val="24"/>
                <w:szCs w:val="24"/>
              </w:rPr>
              <w:t xml:space="preserve"> e </w:t>
            </w:r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verso, a partir do ADF; Aperfeiçoar texto/imagem; Resolução de digitalização selecionável de 75 a 300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dpi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, destino de digitalização e-mail, imagem, OCR, File, FTP, USB, Network Folder,, E-mail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Sever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, Sharepoint, SSH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Sever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(SFTP),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Cloud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Easy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Scan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to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e-mail.                                                                                                                                                                  GERAL: Painel botões no painel </w:t>
            </w:r>
            <w:proofErr w:type="gram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frontal ,</w:t>
            </w:r>
            <w:proofErr w:type="gram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processador 1200MHz , memória 512 MB, conexão 1 porta USB host traseira 1 porta USB frontal rede gigabit ethernet LAN 10/100/1000BASE-T Rádio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Wi-fi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802.11b/n/2,4 GHz/5 GHz, voltagem 110 a 127V, Temperatura de funcionamento 10a 32,5ºC.     Entregue com dois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torners</w:t>
            </w:r>
            <w:proofErr w:type="spellEnd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 (sendo um </w:t>
            </w:r>
            <w:proofErr w:type="spell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pre-instalado</w:t>
            </w:r>
            <w:proofErr w:type="spellEnd"/>
            <w:proofErr w:type="gram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)</w:t>
            </w:r>
            <w:r>
              <w:rPr>
                <w:rFonts w:ascii="Corbel" w:eastAsia="Calibri" w:hAnsi="Corbel" w:cs="Times New Roman"/>
                <w:sz w:val="24"/>
                <w:szCs w:val="24"/>
              </w:rPr>
              <w:t xml:space="preserve"> .</w:t>
            </w:r>
            <w:proofErr w:type="gramEnd"/>
            <w:r w:rsidRPr="00937CB8">
              <w:rPr>
                <w:rFonts w:ascii="Corbel" w:eastAsia="Calibri" w:hAnsi="Corbel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6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  <w:r>
              <w:rPr>
                <w:rFonts w:ascii="Corbel" w:eastAsia="Times New Roman" w:hAnsi="Corbel" w:cs="Corbel"/>
                <w:sz w:val="18"/>
                <w:szCs w:val="18"/>
              </w:rPr>
              <w:t>01</w:t>
            </w:r>
          </w:p>
        </w:tc>
        <w:tc>
          <w:tcPr>
            <w:tcW w:w="482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</w:p>
        </w:tc>
        <w:tc>
          <w:tcPr>
            <w:tcW w:w="499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</w:p>
        </w:tc>
      </w:tr>
      <w:tr w:rsidR="00D51800" w:rsidTr="00B16A13">
        <w:tc>
          <w:tcPr>
            <w:tcW w:w="357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  <w:r>
              <w:rPr>
                <w:rFonts w:ascii="Corbel" w:eastAsia="Times New Roman" w:hAnsi="Corbel" w:cs="Corbel"/>
                <w:sz w:val="18"/>
                <w:szCs w:val="18"/>
              </w:rPr>
              <w:t>Total</w:t>
            </w:r>
          </w:p>
        </w:tc>
        <w:tc>
          <w:tcPr>
            <w:tcW w:w="715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</w:p>
        </w:tc>
        <w:tc>
          <w:tcPr>
            <w:tcW w:w="2671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  <w:r w:rsidRPr="00937CB8">
              <w:rPr>
                <w:rFonts w:ascii="Corbel" w:eastAsia="Calibri" w:hAnsi="Corbel" w:cs="Times New Roman"/>
                <w:sz w:val="24"/>
                <w:szCs w:val="24"/>
              </w:rPr>
              <w:t xml:space="preserve"> </w:t>
            </w:r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 xml:space="preserve">Outro equipamento que atenda com capacidades maiores, dentro da mesma faixa de valores, será </w:t>
            </w:r>
            <w:proofErr w:type="gramStart"/>
            <w:r w:rsidRPr="00A17EFF">
              <w:rPr>
                <w:rFonts w:ascii="Corbel" w:eastAsia="Calibri" w:hAnsi="Corbel" w:cs="Times New Roman"/>
                <w:sz w:val="18"/>
                <w:szCs w:val="18"/>
              </w:rPr>
              <w:t>aceito</w:t>
            </w:r>
            <w:proofErr w:type="gramEnd"/>
          </w:p>
        </w:tc>
        <w:tc>
          <w:tcPr>
            <w:tcW w:w="276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</w:p>
        </w:tc>
        <w:tc>
          <w:tcPr>
            <w:tcW w:w="482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</w:p>
        </w:tc>
        <w:tc>
          <w:tcPr>
            <w:tcW w:w="499" w:type="pct"/>
          </w:tcPr>
          <w:p w:rsidR="00D51800" w:rsidRPr="00A17EFF" w:rsidRDefault="00D51800" w:rsidP="00B16A13">
            <w:pPr>
              <w:jc w:val="center"/>
              <w:rPr>
                <w:rFonts w:ascii="Corbel" w:eastAsia="Times New Roman" w:hAnsi="Corbel" w:cs="Corbel"/>
                <w:sz w:val="18"/>
                <w:szCs w:val="18"/>
              </w:rPr>
            </w:pPr>
          </w:p>
        </w:tc>
      </w:tr>
    </w:tbl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Empresa_______________________________________________________________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CNPJ__________________________________________________________________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Endereço_______________________________________________________________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Responsável/CPF ________________________________________________________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Local de entrega_________________________________________________________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Prazo de entrega__________________________________________________________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lastRenderedPageBreak/>
        <w:t>Local/Data______________________________________________________________</w:t>
      </w: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D51800" w:rsidRDefault="00D51800" w:rsidP="00D51800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proofErr w:type="spellStart"/>
      <w:r>
        <w:rPr>
          <w:rFonts w:ascii="Corbel" w:eastAsia="Times New Roman" w:hAnsi="Corbel" w:cs="Corbel"/>
          <w:sz w:val="24"/>
          <w:szCs w:val="24"/>
        </w:rPr>
        <w:t>Telef</w:t>
      </w:r>
      <w:proofErr w:type="spellEnd"/>
      <w:r>
        <w:rPr>
          <w:rFonts w:ascii="Corbel" w:eastAsia="Times New Roman" w:hAnsi="Corbel" w:cs="Corbel"/>
          <w:sz w:val="24"/>
          <w:szCs w:val="24"/>
        </w:rPr>
        <w:t>/e-mail contato______________________________________________________</w:t>
      </w:r>
    </w:p>
    <w:sectPr w:rsidR="00D5180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E5" w:rsidRDefault="00C139E5" w:rsidP="00E317F4">
      <w:pPr>
        <w:spacing w:after="0" w:line="240" w:lineRule="auto"/>
      </w:pPr>
      <w:r>
        <w:separator/>
      </w:r>
    </w:p>
  </w:endnote>
  <w:endnote w:type="continuationSeparator" w:id="0">
    <w:p w:rsidR="00C139E5" w:rsidRDefault="00C139E5" w:rsidP="00E3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E5" w:rsidRDefault="00C139E5" w:rsidP="00E317F4">
      <w:pPr>
        <w:spacing w:after="0" w:line="240" w:lineRule="auto"/>
      </w:pPr>
      <w:r>
        <w:separator/>
      </w:r>
    </w:p>
  </w:footnote>
  <w:footnote w:type="continuationSeparator" w:id="0">
    <w:p w:rsidR="00C139E5" w:rsidRDefault="00C139E5" w:rsidP="00E3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F4" w:rsidRPr="00E317F4" w:rsidRDefault="00E317F4" w:rsidP="00E317F4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317F4"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11965984" r:id="rId2"/>
      </w:pict>
    </w:r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E317F4" w:rsidRPr="00E317F4" w:rsidRDefault="00E317F4" w:rsidP="00E317F4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E317F4" w:rsidRPr="00E317F4" w:rsidRDefault="00E317F4" w:rsidP="00E317F4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E317F4" w:rsidRPr="00E317F4" w:rsidRDefault="00E317F4" w:rsidP="00E317F4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317F4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E317F4" w:rsidRDefault="00E317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C4C68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4B"/>
    <w:rsid w:val="001A66DD"/>
    <w:rsid w:val="0038724B"/>
    <w:rsid w:val="004B2BAB"/>
    <w:rsid w:val="004D210D"/>
    <w:rsid w:val="00BA12B2"/>
    <w:rsid w:val="00C139E5"/>
    <w:rsid w:val="00D51800"/>
    <w:rsid w:val="00E317F4"/>
    <w:rsid w:val="00E5462E"/>
    <w:rsid w:val="00E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724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5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E317F4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31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7F4"/>
  </w:style>
  <w:style w:type="paragraph" w:styleId="Rodap">
    <w:name w:val="footer"/>
    <w:basedOn w:val="Normal"/>
    <w:link w:val="RodapChar"/>
    <w:uiPriority w:val="99"/>
    <w:unhideWhenUsed/>
    <w:rsid w:val="00E31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7F4"/>
  </w:style>
  <w:style w:type="paragraph" w:styleId="Textodebalo">
    <w:name w:val="Balloon Text"/>
    <w:basedOn w:val="Normal"/>
    <w:link w:val="TextodebaloChar"/>
    <w:uiPriority w:val="99"/>
    <w:semiHidden/>
    <w:unhideWhenUsed/>
    <w:rsid w:val="00E3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724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5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E317F4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31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7F4"/>
  </w:style>
  <w:style w:type="paragraph" w:styleId="Rodap">
    <w:name w:val="footer"/>
    <w:basedOn w:val="Normal"/>
    <w:link w:val="RodapChar"/>
    <w:uiPriority w:val="99"/>
    <w:unhideWhenUsed/>
    <w:rsid w:val="00E31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7F4"/>
  </w:style>
  <w:style w:type="paragraph" w:styleId="Textodebalo">
    <w:name w:val="Balloon Text"/>
    <w:basedOn w:val="Normal"/>
    <w:link w:val="TextodebaloChar"/>
    <w:uiPriority w:val="99"/>
    <w:semiHidden/>
    <w:unhideWhenUsed/>
    <w:rsid w:val="00E3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docadm/texto_integral/82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1640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dcterms:created xsi:type="dcterms:W3CDTF">2022-04-20T16:19:00Z</dcterms:created>
  <dcterms:modified xsi:type="dcterms:W3CDTF">2022-04-20T16:20:00Z</dcterms:modified>
</cp:coreProperties>
</file>